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360" w:lineRule="auto"/>
        <w:jc w:val="center"/>
        <w:rPr>
          <w:rFonts w:ascii="宋体"/>
          <w:b/>
          <w:sz w:val="44"/>
          <w:szCs w:val="44"/>
        </w:rPr>
      </w:pPr>
    </w:p>
    <w:p>
      <w:pPr>
        <w:spacing w:beforeLines="50" w:afterLines="50" w:line="360" w:lineRule="auto"/>
        <w:jc w:val="center"/>
        <w:rPr>
          <w:rFonts w:ascii="宋体"/>
          <w:b/>
          <w:sz w:val="44"/>
          <w:szCs w:val="44"/>
        </w:rPr>
      </w:pPr>
    </w:p>
    <w:p>
      <w:pPr>
        <w:spacing w:beforeLines="50" w:afterLines="50" w:line="360" w:lineRule="auto"/>
        <w:jc w:val="center"/>
        <w:rPr>
          <w:rFonts w:ascii="宋体"/>
          <w:b/>
          <w:sz w:val="52"/>
          <w:szCs w:val="44"/>
        </w:rPr>
      </w:pPr>
      <w:r>
        <w:rPr>
          <w:rFonts w:hint="eastAsia" w:ascii="宋体" w:hAnsi="宋体"/>
          <w:b/>
          <w:sz w:val="52"/>
          <w:szCs w:val="44"/>
        </w:rPr>
        <w:t>南通市档案馆</w:t>
      </w:r>
    </w:p>
    <w:p>
      <w:pPr>
        <w:spacing w:beforeLines="50" w:afterLines="50" w:line="360" w:lineRule="auto"/>
        <w:jc w:val="center"/>
        <w:rPr>
          <w:rFonts w:ascii="宋体"/>
          <w:b/>
          <w:sz w:val="44"/>
          <w:szCs w:val="44"/>
        </w:rPr>
      </w:pPr>
      <w:r>
        <w:rPr>
          <w:rFonts w:hint="eastAsia" w:ascii="宋体" w:hAnsi="宋体"/>
          <w:b/>
          <w:sz w:val="44"/>
          <w:szCs w:val="44"/>
        </w:rPr>
        <w:t>网络安全等级保护测评服务项目</w:t>
      </w:r>
    </w:p>
    <w:p>
      <w:pPr>
        <w:spacing w:beforeLines="50" w:afterLines="50" w:line="360" w:lineRule="auto"/>
        <w:jc w:val="center"/>
        <w:rPr>
          <w:rFonts w:ascii="宋体"/>
          <w:b/>
          <w:sz w:val="84"/>
          <w:szCs w:val="84"/>
        </w:rPr>
      </w:pPr>
    </w:p>
    <w:p>
      <w:pPr>
        <w:spacing w:beforeLines="50" w:afterLines="50" w:line="360" w:lineRule="auto"/>
        <w:jc w:val="center"/>
        <w:rPr>
          <w:rFonts w:ascii="宋体"/>
          <w:b/>
          <w:sz w:val="84"/>
          <w:szCs w:val="84"/>
        </w:rPr>
      </w:pPr>
      <w:r>
        <w:rPr>
          <w:rFonts w:hint="eastAsia" w:ascii="宋体" w:hAnsi="宋体"/>
          <w:b/>
          <w:sz w:val="84"/>
          <w:szCs w:val="84"/>
        </w:rPr>
        <w:t>竞争性磋商文件</w:t>
      </w:r>
    </w:p>
    <w:p>
      <w:pPr>
        <w:spacing w:beforeLines="50" w:afterLines="50" w:line="360" w:lineRule="auto"/>
        <w:rPr>
          <w:rFonts w:ascii="宋体"/>
          <w:sz w:val="28"/>
          <w:szCs w:val="28"/>
        </w:rPr>
      </w:pPr>
    </w:p>
    <w:p>
      <w:pPr>
        <w:spacing w:beforeLines="50" w:afterLines="50" w:line="360" w:lineRule="auto"/>
        <w:rPr>
          <w:rFonts w:ascii="宋体"/>
          <w:b/>
          <w:sz w:val="32"/>
          <w:szCs w:val="32"/>
        </w:rPr>
      </w:pPr>
    </w:p>
    <w:p>
      <w:pPr>
        <w:spacing w:beforeLines="50" w:afterLines="50" w:line="360" w:lineRule="auto"/>
        <w:rPr>
          <w:rFonts w:ascii="宋体"/>
          <w:b/>
          <w:sz w:val="32"/>
          <w:szCs w:val="32"/>
        </w:rPr>
      </w:pPr>
    </w:p>
    <w:p>
      <w:pPr>
        <w:spacing w:beforeLines="50" w:afterLines="50" w:line="360" w:lineRule="auto"/>
        <w:rPr>
          <w:rFonts w:ascii="宋体"/>
          <w:b/>
          <w:sz w:val="32"/>
          <w:szCs w:val="32"/>
        </w:rPr>
      </w:pPr>
    </w:p>
    <w:p>
      <w:pPr>
        <w:spacing w:beforeLines="100" w:afterLines="100" w:line="360" w:lineRule="auto"/>
        <w:rPr>
          <w:rFonts w:ascii="宋体"/>
          <w:b/>
          <w:sz w:val="36"/>
          <w:szCs w:val="36"/>
        </w:rPr>
      </w:pPr>
    </w:p>
    <w:p>
      <w:pPr>
        <w:spacing w:beforeLines="100" w:afterLines="100" w:line="360" w:lineRule="auto"/>
        <w:ind w:firstLine="1250" w:firstLineChars="346"/>
        <w:rPr>
          <w:rFonts w:ascii="宋体"/>
          <w:b/>
          <w:sz w:val="36"/>
          <w:szCs w:val="36"/>
        </w:rPr>
      </w:pPr>
      <w:r>
        <w:rPr>
          <w:rFonts w:hint="eastAsia" w:ascii="宋体" w:hAnsi="宋体"/>
          <w:b/>
          <w:sz w:val="36"/>
          <w:szCs w:val="36"/>
        </w:rPr>
        <w:t>招标人：南通市档案馆</w:t>
      </w:r>
    </w:p>
    <w:p>
      <w:pPr>
        <w:spacing w:beforeLines="100" w:afterLines="100" w:line="360" w:lineRule="auto"/>
        <w:ind w:firstLine="1250" w:firstLineChars="346"/>
        <w:rPr>
          <w:rFonts w:ascii="宋体"/>
          <w:b/>
          <w:sz w:val="36"/>
          <w:szCs w:val="36"/>
        </w:rPr>
      </w:pPr>
      <w:r>
        <w:rPr>
          <w:rFonts w:hint="eastAsia" w:ascii="宋体" w:hAnsi="宋体"/>
          <w:b/>
          <w:sz w:val="36"/>
          <w:szCs w:val="36"/>
        </w:rPr>
        <w:t>日期：</w:t>
      </w:r>
      <w:r>
        <w:rPr>
          <w:rFonts w:ascii="宋体" w:hAnsi="宋体"/>
          <w:b/>
          <w:sz w:val="36"/>
          <w:szCs w:val="36"/>
        </w:rPr>
        <w:t xml:space="preserve">  </w:t>
      </w:r>
      <w:bookmarkStart w:id="6" w:name="_GoBack"/>
      <w:bookmarkEnd w:id="6"/>
      <w:r>
        <w:rPr>
          <w:rFonts w:ascii="宋体" w:hAnsi="宋体"/>
          <w:b/>
          <w:sz w:val="36"/>
          <w:szCs w:val="36"/>
        </w:rPr>
        <w:t>2020</w:t>
      </w:r>
      <w:r>
        <w:rPr>
          <w:rFonts w:hint="eastAsia" w:ascii="宋体" w:hAnsi="宋体"/>
          <w:b/>
          <w:sz w:val="36"/>
          <w:szCs w:val="36"/>
        </w:rPr>
        <w:t>年7月22日</w:t>
      </w:r>
    </w:p>
    <w:p>
      <w:pPr>
        <w:widowControl/>
        <w:jc w:val="left"/>
        <w:rPr>
          <w:rFonts w:ascii="宋体" w:cs="仿宋"/>
          <w:b/>
          <w:bCs/>
          <w:kern w:val="44"/>
          <w:sz w:val="44"/>
          <w:szCs w:val="44"/>
        </w:rPr>
      </w:pPr>
    </w:p>
    <w:p>
      <w:pPr>
        <w:pStyle w:val="3"/>
        <w:spacing w:before="240" w:after="240" w:line="360" w:lineRule="auto"/>
        <w:jc w:val="center"/>
        <w:rPr>
          <w:rFonts w:ascii="宋体" w:cs="仿宋"/>
        </w:rPr>
      </w:pPr>
      <w:bookmarkStart w:id="0" w:name="_Toc33457480"/>
      <w:r>
        <w:rPr>
          <w:rFonts w:hint="eastAsia" w:ascii="宋体" w:hAnsi="宋体" w:cs="仿宋"/>
        </w:rPr>
        <w:t>第一章招标公告</w:t>
      </w:r>
      <w:bookmarkEnd w:id="0"/>
    </w:p>
    <w:p>
      <w:pPr>
        <w:spacing w:line="360" w:lineRule="auto"/>
        <w:ind w:firstLine="560" w:firstLineChars="200"/>
        <w:rPr>
          <w:rFonts w:ascii="宋体"/>
          <w:sz w:val="28"/>
          <w:szCs w:val="24"/>
        </w:rPr>
      </w:pPr>
      <w:r>
        <w:rPr>
          <w:rFonts w:hint="eastAsia" w:ascii="宋体" w:hAnsi="宋体"/>
          <w:sz w:val="28"/>
          <w:szCs w:val="24"/>
        </w:rPr>
        <w:t>一、根据《中华人民共和国政府采购法》等有关规定，</w:t>
      </w:r>
      <w:r>
        <w:rPr>
          <w:rFonts w:hint="eastAsia" w:ascii="宋体" w:hAnsi="宋体"/>
          <w:sz w:val="28"/>
          <w:szCs w:val="24"/>
          <w:u w:val="single"/>
        </w:rPr>
        <w:t>南通市档案馆网络安全等级保护测评服务项目</w:t>
      </w:r>
      <w:r>
        <w:rPr>
          <w:rFonts w:hint="eastAsia" w:ascii="宋体" w:hAnsi="宋体"/>
          <w:sz w:val="28"/>
          <w:szCs w:val="24"/>
        </w:rPr>
        <w:t>进行竞争性磋商采购，诚邀符合要求的供应商前来报名参加。</w:t>
      </w:r>
    </w:p>
    <w:p>
      <w:pPr>
        <w:snapToGrid w:val="0"/>
        <w:spacing w:beforeLines="50" w:afterLines="50" w:line="500" w:lineRule="exact"/>
        <w:ind w:firstLine="551" w:firstLineChars="196"/>
        <w:rPr>
          <w:rFonts w:ascii="宋体"/>
          <w:b/>
          <w:sz w:val="28"/>
          <w:szCs w:val="24"/>
        </w:rPr>
      </w:pPr>
      <w:r>
        <w:rPr>
          <w:rFonts w:hint="eastAsia" w:ascii="宋体" w:hAnsi="宋体"/>
          <w:b/>
          <w:sz w:val="28"/>
          <w:szCs w:val="24"/>
        </w:rPr>
        <w:t>二、项目概况</w:t>
      </w:r>
    </w:p>
    <w:p>
      <w:pPr>
        <w:spacing w:line="360" w:lineRule="auto"/>
        <w:ind w:firstLine="560" w:firstLineChars="200"/>
        <w:rPr>
          <w:rFonts w:ascii="宋体"/>
          <w:sz w:val="28"/>
          <w:szCs w:val="24"/>
          <w:u w:val="single"/>
        </w:rPr>
      </w:pPr>
      <w:r>
        <w:rPr>
          <w:rFonts w:hint="eastAsia" w:ascii="宋体" w:hAnsi="宋体"/>
          <w:sz w:val="28"/>
          <w:szCs w:val="24"/>
        </w:rPr>
        <w:t>（</w:t>
      </w:r>
      <w:r>
        <w:rPr>
          <w:rFonts w:ascii="宋体" w:hAnsi="宋体"/>
          <w:sz w:val="28"/>
          <w:szCs w:val="24"/>
        </w:rPr>
        <w:t>1</w:t>
      </w:r>
      <w:r>
        <w:rPr>
          <w:rFonts w:hint="eastAsia" w:ascii="宋体" w:hAnsi="宋体"/>
          <w:sz w:val="28"/>
          <w:szCs w:val="24"/>
        </w:rPr>
        <w:t>）项目名称：</w:t>
      </w:r>
      <w:r>
        <w:rPr>
          <w:rFonts w:hint="eastAsia" w:ascii="宋体" w:hAnsi="宋体"/>
          <w:sz w:val="28"/>
          <w:szCs w:val="24"/>
          <w:u w:val="single"/>
        </w:rPr>
        <w:t>南通市档案馆网络安全等级保护测评服务项目</w:t>
      </w:r>
    </w:p>
    <w:p>
      <w:pPr>
        <w:spacing w:line="360" w:lineRule="auto"/>
        <w:ind w:firstLine="560" w:firstLineChars="200"/>
        <w:rPr>
          <w:rFonts w:ascii="宋体"/>
          <w:sz w:val="28"/>
          <w:szCs w:val="24"/>
          <w:u w:val="single"/>
        </w:rPr>
      </w:pPr>
      <w:r>
        <w:rPr>
          <w:rFonts w:hint="eastAsia" w:ascii="宋体" w:hAnsi="宋体"/>
          <w:sz w:val="28"/>
          <w:szCs w:val="24"/>
        </w:rPr>
        <w:t>（</w:t>
      </w:r>
      <w:r>
        <w:rPr>
          <w:rFonts w:ascii="宋体" w:hAnsi="宋体"/>
          <w:sz w:val="28"/>
          <w:szCs w:val="24"/>
        </w:rPr>
        <w:t>2</w:t>
      </w:r>
      <w:r>
        <w:rPr>
          <w:rFonts w:hint="eastAsia" w:ascii="宋体" w:hAnsi="宋体"/>
          <w:sz w:val="28"/>
          <w:szCs w:val="24"/>
        </w:rPr>
        <w:t>）招标方式：</w:t>
      </w:r>
      <w:r>
        <w:rPr>
          <w:rFonts w:hint="eastAsia" w:ascii="宋体" w:hAnsi="宋体"/>
          <w:sz w:val="28"/>
          <w:szCs w:val="24"/>
          <w:u w:val="single"/>
        </w:rPr>
        <w:t>竞争性磋商</w:t>
      </w:r>
    </w:p>
    <w:p>
      <w:pPr>
        <w:spacing w:line="360" w:lineRule="auto"/>
        <w:ind w:firstLine="560" w:firstLineChars="200"/>
        <w:rPr>
          <w:rFonts w:ascii="宋体"/>
          <w:sz w:val="28"/>
          <w:szCs w:val="24"/>
        </w:rPr>
      </w:pPr>
      <w:r>
        <w:rPr>
          <w:rFonts w:hint="eastAsia" w:ascii="宋体" w:hAnsi="宋体"/>
          <w:sz w:val="28"/>
          <w:szCs w:val="24"/>
        </w:rPr>
        <w:t>（</w:t>
      </w:r>
      <w:r>
        <w:rPr>
          <w:rFonts w:ascii="宋体" w:hAnsi="宋体"/>
          <w:sz w:val="28"/>
          <w:szCs w:val="24"/>
        </w:rPr>
        <w:t>3</w:t>
      </w:r>
      <w:r>
        <w:rPr>
          <w:rFonts w:hint="eastAsia" w:ascii="宋体" w:hAnsi="宋体"/>
          <w:sz w:val="28"/>
          <w:szCs w:val="24"/>
        </w:rPr>
        <w:t>）采购内容：</w:t>
      </w:r>
    </w:p>
    <w:p>
      <w:pPr>
        <w:spacing w:line="360" w:lineRule="auto"/>
        <w:ind w:firstLine="560" w:firstLineChars="200"/>
        <w:rPr>
          <w:rFonts w:ascii="宋体"/>
          <w:b/>
          <w:sz w:val="28"/>
          <w:szCs w:val="24"/>
        </w:rPr>
      </w:pPr>
      <w:r>
        <w:rPr>
          <w:rFonts w:hint="eastAsia" w:ascii="宋体" w:hAnsi="宋体"/>
          <w:sz w:val="28"/>
          <w:szCs w:val="32"/>
        </w:rPr>
        <w:t>对“</w:t>
      </w:r>
      <w:r>
        <w:rPr>
          <w:rFonts w:hint="eastAsia" w:ascii="宋体" w:hAnsi="宋体"/>
          <w:sz w:val="28"/>
          <w:szCs w:val="32"/>
          <w:lang w:val="zh-CN"/>
        </w:rPr>
        <w:t>电子文件综合管理系统、数字档案馆系统”</w:t>
      </w:r>
      <w:r>
        <w:rPr>
          <w:rFonts w:hint="eastAsia" w:ascii="宋体" w:hAnsi="宋体"/>
          <w:sz w:val="28"/>
          <w:szCs w:val="32"/>
        </w:rPr>
        <w:t>进行等级保护测评服务，出具等级保护测评报告。</w:t>
      </w:r>
    </w:p>
    <w:p>
      <w:pPr>
        <w:spacing w:line="360" w:lineRule="auto"/>
        <w:ind w:firstLine="560" w:firstLineChars="200"/>
        <w:rPr>
          <w:rFonts w:ascii="宋体" w:hAnsi="宋体"/>
          <w:color w:val="FFFFFF" w:themeColor="background1"/>
          <w:sz w:val="28"/>
          <w:szCs w:val="24"/>
          <w:u w:val="single"/>
        </w:rPr>
      </w:pPr>
      <w:r>
        <w:rPr>
          <w:rFonts w:hint="eastAsia" w:ascii="宋体" w:hAnsi="宋体"/>
          <w:sz w:val="28"/>
          <w:szCs w:val="24"/>
        </w:rPr>
        <w:t>（</w:t>
      </w:r>
      <w:r>
        <w:rPr>
          <w:rFonts w:ascii="宋体" w:hAnsi="宋体"/>
          <w:sz w:val="28"/>
          <w:szCs w:val="24"/>
        </w:rPr>
        <w:t>4</w:t>
      </w:r>
      <w:r>
        <w:rPr>
          <w:rFonts w:hint="eastAsia" w:ascii="宋体" w:hAnsi="宋体"/>
          <w:sz w:val="28"/>
          <w:szCs w:val="24"/>
        </w:rPr>
        <w:t>）项目最高限价6万元</w:t>
      </w:r>
    </w:p>
    <w:p>
      <w:pPr>
        <w:spacing w:line="480" w:lineRule="exact"/>
        <w:ind w:firstLine="562" w:firstLineChars="200"/>
        <w:rPr>
          <w:rFonts w:ascii="宋体"/>
          <w:sz w:val="28"/>
          <w:szCs w:val="28"/>
        </w:rPr>
      </w:pPr>
      <w:r>
        <w:rPr>
          <w:rFonts w:hint="eastAsia" w:ascii="宋体" w:hAnsi="宋体"/>
          <w:b/>
          <w:sz w:val="28"/>
          <w:szCs w:val="28"/>
        </w:rPr>
        <w:t>三、采购单位名称：</w:t>
      </w:r>
      <w:r>
        <w:rPr>
          <w:rFonts w:hint="eastAsia" w:ascii="宋体" w:hAnsi="宋体"/>
          <w:sz w:val="28"/>
          <w:szCs w:val="28"/>
        </w:rPr>
        <w:t>南通市档案馆</w:t>
      </w:r>
    </w:p>
    <w:p>
      <w:pPr>
        <w:snapToGrid w:val="0"/>
        <w:spacing w:line="480" w:lineRule="exact"/>
        <w:ind w:firstLine="560" w:firstLineChars="200"/>
        <w:rPr>
          <w:rFonts w:hint="eastAsia" w:ascii="宋体" w:hAnsi="宋体"/>
          <w:sz w:val="28"/>
          <w:szCs w:val="28"/>
        </w:rPr>
      </w:pPr>
      <w:r>
        <w:rPr>
          <w:rFonts w:hint="eastAsia" w:ascii="宋体" w:hAnsi="宋体"/>
          <w:sz w:val="28"/>
          <w:szCs w:val="28"/>
        </w:rPr>
        <w:t>联系人：王建红</w:t>
      </w:r>
    </w:p>
    <w:p>
      <w:pPr>
        <w:snapToGrid w:val="0"/>
        <w:spacing w:line="480" w:lineRule="exact"/>
        <w:ind w:firstLine="560" w:firstLineChars="200"/>
        <w:rPr>
          <w:rFonts w:hint="eastAsia" w:ascii="宋体" w:hAnsi="宋体"/>
          <w:sz w:val="28"/>
          <w:szCs w:val="28"/>
        </w:rPr>
      </w:pPr>
      <w:r>
        <w:rPr>
          <w:rFonts w:hint="eastAsia" w:ascii="宋体" w:hAnsi="宋体"/>
          <w:sz w:val="28"/>
          <w:szCs w:val="28"/>
        </w:rPr>
        <w:t>联系电话：0513-85216639</w:t>
      </w:r>
    </w:p>
    <w:p>
      <w:pPr>
        <w:snapToGrid w:val="0"/>
        <w:spacing w:line="480" w:lineRule="exact"/>
        <w:ind w:firstLine="560" w:firstLineChars="200"/>
        <w:rPr>
          <w:rFonts w:hint="eastAsia" w:ascii="宋体" w:hAnsi="宋体"/>
          <w:sz w:val="28"/>
          <w:szCs w:val="28"/>
        </w:rPr>
      </w:pPr>
      <w:r>
        <w:rPr>
          <w:rFonts w:hint="eastAsia" w:ascii="宋体" w:hAnsi="宋体"/>
          <w:sz w:val="28"/>
          <w:szCs w:val="28"/>
        </w:rPr>
        <w:t>联系地址：南通市世纪大道6号</w:t>
      </w:r>
    </w:p>
    <w:p>
      <w:pPr>
        <w:snapToGrid w:val="0"/>
        <w:spacing w:line="480" w:lineRule="exact"/>
        <w:ind w:firstLine="562" w:firstLineChars="200"/>
        <w:rPr>
          <w:rFonts w:ascii="宋体"/>
          <w:sz w:val="28"/>
          <w:szCs w:val="28"/>
        </w:rPr>
      </w:pPr>
      <w:r>
        <w:rPr>
          <w:rFonts w:hint="eastAsia" w:ascii="宋体" w:hAnsi="宋体"/>
          <w:b/>
          <w:sz w:val="28"/>
          <w:szCs w:val="28"/>
        </w:rPr>
        <w:t>四、采购项目说明及需求：</w:t>
      </w:r>
      <w:r>
        <w:rPr>
          <w:rFonts w:hint="eastAsia" w:ascii="宋体" w:hAnsi="宋体"/>
          <w:sz w:val="28"/>
          <w:szCs w:val="28"/>
        </w:rPr>
        <w:t>具体内容详见招标文件第三部分。</w:t>
      </w:r>
    </w:p>
    <w:p>
      <w:pPr>
        <w:spacing w:line="480" w:lineRule="exact"/>
        <w:ind w:firstLine="562" w:firstLineChars="200"/>
        <w:rPr>
          <w:rFonts w:ascii="宋体"/>
          <w:color w:val="000000"/>
          <w:sz w:val="28"/>
          <w:szCs w:val="28"/>
        </w:rPr>
      </w:pPr>
      <w:r>
        <w:rPr>
          <w:rFonts w:hint="eastAsia" w:ascii="宋体" w:hAnsi="宋体"/>
          <w:b/>
          <w:color w:val="000000"/>
          <w:sz w:val="28"/>
          <w:szCs w:val="28"/>
        </w:rPr>
        <w:t>六、实施地点：</w:t>
      </w:r>
      <w:r>
        <w:rPr>
          <w:rFonts w:hint="eastAsia" w:ascii="宋体" w:hAnsi="宋体"/>
          <w:color w:val="000000"/>
          <w:sz w:val="28"/>
          <w:szCs w:val="28"/>
        </w:rPr>
        <w:t>南通市档案馆。</w:t>
      </w:r>
    </w:p>
    <w:p>
      <w:pPr>
        <w:snapToGrid w:val="0"/>
        <w:spacing w:line="480" w:lineRule="exact"/>
        <w:ind w:firstLine="562" w:firstLineChars="200"/>
        <w:rPr>
          <w:rFonts w:ascii="宋体"/>
          <w:b/>
          <w:sz w:val="28"/>
          <w:szCs w:val="28"/>
        </w:rPr>
      </w:pPr>
      <w:r>
        <w:rPr>
          <w:rFonts w:hint="eastAsia" w:ascii="宋体" w:hAnsi="宋体"/>
          <w:b/>
          <w:sz w:val="28"/>
          <w:szCs w:val="28"/>
        </w:rPr>
        <w:t>七、资格要求：</w:t>
      </w:r>
    </w:p>
    <w:p>
      <w:pPr>
        <w:spacing w:line="420" w:lineRule="atLeast"/>
        <w:ind w:firstLine="560" w:firstLineChars="200"/>
        <w:rPr>
          <w:rFonts w:ascii="宋体"/>
          <w:color w:val="000000"/>
          <w:sz w:val="28"/>
          <w:szCs w:val="28"/>
        </w:rPr>
      </w:pPr>
      <w:r>
        <w:rPr>
          <w:rFonts w:ascii="宋体" w:hAnsi="宋体"/>
          <w:color w:val="000000"/>
          <w:sz w:val="28"/>
          <w:szCs w:val="28"/>
        </w:rPr>
        <w:t>(</w:t>
      </w:r>
      <w:r>
        <w:rPr>
          <w:rFonts w:hint="eastAsia" w:ascii="宋体" w:hAnsi="宋体"/>
          <w:color w:val="000000"/>
          <w:sz w:val="28"/>
          <w:szCs w:val="28"/>
        </w:rPr>
        <w:t>一</w:t>
      </w:r>
      <w:r>
        <w:rPr>
          <w:rFonts w:ascii="宋体" w:hAnsi="宋体"/>
          <w:color w:val="000000"/>
          <w:sz w:val="28"/>
          <w:szCs w:val="28"/>
        </w:rPr>
        <w:t>)</w:t>
      </w:r>
      <w:r>
        <w:rPr>
          <w:rFonts w:hint="eastAsia" w:ascii="宋体" w:hAnsi="宋体"/>
          <w:color w:val="000000"/>
          <w:sz w:val="28"/>
          <w:szCs w:val="28"/>
        </w:rPr>
        <w:t>法定条件：</w:t>
      </w:r>
    </w:p>
    <w:p>
      <w:pPr>
        <w:spacing w:line="420" w:lineRule="atLeast"/>
        <w:ind w:firstLine="560" w:firstLineChars="200"/>
        <w:rPr>
          <w:rFonts w:ascii="宋体"/>
          <w:color w:val="000000"/>
          <w:sz w:val="28"/>
          <w:szCs w:val="28"/>
        </w:rPr>
      </w:pPr>
      <w:r>
        <w:rPr>
          <w:rFonts w:hint="eastAsia" w:ascii="宋体" w:hAnsi="宋体"/>
          <w:color w:val="000000"/>
          <w:sz w:val="28"/>
          <w:szCs w:val="28"/>
        </w:rPr>
        <w:t>符合政府采购法第</w:t>
      </w:r>
      <w:r>
        <w:rPr>
          <w:rFonts w:ascii="宋体" w:hAnsi="宋体"/>
          <w:color w:val="000000"/>
          <w:sz w:val="28"/>
          <w:szCs w:val="28"/>
        </w:rPr>
        <w:t>22</w:t>
      </w:r>
      <w:r>
        <w:rPr>
          <w:rFonts w:hint="eastAsia" w:ascii="宋体" w:hAnsi="宋体"/>
          <w:color w:val="000000"/>
          <w:sz w:val="28"/>
          <w:szCs w:val="28"/>
        </w:rPr>
        <w:t>条规定的相关条件。</w:t>
      </w:r>
    </w:p>
    <w:p>
      <w:pPr>
        <w:autoSpaceDE w:val="0"/>
        <w:autoSpaceDN w:val="0"/>
        <w:adjustRightInd w:val="0"/>
        <w:spacing w:line="420" w:lineRule="atLeast"/>
        <w:ind w:firstLine="560" w:firstLineChars="200"/>
        <w:rPr>
          <w:rFonts w:ascii="宋体"/>
          <w:sz w:val="28"/>
          <w:szCs w:val="28"/>
        </w:rPr>
      </w:pPr>
      <w:r>
        <w:rPr>
          <w:rFonts w:ascii="宋体" w:hAnsi="宋体"/>
          <w:sz w:val="28"/>
          <w:szCs w:val="28"/>
        </w:rPr>
        <w:t>1.</w:t>
      </w:r>
      <w:r>
        <w:rPr>
          <w:rFonts w:hint="eastAsia" w:ascii="宋体" w:hAnsi="宋体"/>
          <w:sz w:val="28"/>
          <w:szCs w:val="28"/>
        </w:rPr>
        <w:t>具有独立承担民事责任的能力；</w:t>
      </w:r>
    </w:p>
    <w:p>
      <w:pPr>
        <w:autoSpaceDE w:val="0"/>
        <w:autoSpaceDN w:val="0"/>
        <w:adjustRightInd w:val="0"/>
        <w:spacing w:line="420" w:lineRule="atLeast"/>
        <w:ind w:firstLine="560" w:firstLineChars="200"/>
        <w:rPr>
          <w:rFonts w:ascii="宋体"/>
          <w:sz w:val="28"/>
          <w:szCs w:val="28"/>
        </w:rPr>
      </w:pPr>
      <w:r>
        <w:rPr>
          <w:rFonts w:ascii="宋体" w:hAnsi="宋体"/>
          <w:sz w:val="28"/>
          <w:szCs w:val="28"/>
        </w:rPr>
        <w:t>2.</w:t>
      </w:r>
      <w:r>
        <w:rPr>
          <w:rFonts w:hint="eastAsia" w:ascii="宋体" w:hAnsi="宋体"/>
          <w:sz w:val="28"/>
          <w:szCs w:val="28"/>
        </w:rPr>
        <w:t>具有良好的商业信誉和健全的财务会计制度；</w:t>
      </w:r>
    </w:p>
    <w:p>
      <w:pPr>
        <w:autoSpaceDE w:val="0"/>
        <w:autoSpaceDN w:val="0"/>
        <w:adjustRightInd w:val="0"/>
        <w:spacing w:line="420" w:lineRule="atLeast"/>
        <w:ind w:firstLine="560" w:firstLineChars="200"/>
        <w:rPr>
          <w:rFonts w:ascii="宋体"/>
          <w:sz w:val="28"/>
          <w:szCs w:val="28"/>
        </w:rPr>
      </w:pPr>
      <w:r>
        <w:rPr>
          <w:rFonts w:ascii="宋体" w:hAnsi="宋体"/>
          <w:sz w:val="28"/>
          <w:szCs w:val="28"/>
        </w:rPr>
        <w:t>3.</w:t>
      </w:r>
      <w:r>
        <w:rPr>
          <w:rFonts w:hint="eastAsia" w:ascii="宋体" w:hAnsi="宋体"/>
          <w:sz w:val="28"/>
          <w:szCs w:val="28"/>
        </w:rPr>
        <w:t>具有履行合同所必需的设备和专业技术能力；</w:t>
      </w:r>
    </w:p>
    <w:p>
      <w:pPr>
        <w:autoSpaceDE w:val="0"/>
        <w:autoSpaceDN w:val="0"/>
        <w:adjustRightInd w:val="0"/>
        <w:spacing w:line="420" w:lineRule="atLeast"/>
        <w:ind w:firstLine="560" w:firstLineChars="200"/>
        <w:rPr>
          <w:rFonts w:ascii="宋体"/>
          <w:sz w:val="28"/>
          <w:szCs w:val="28"/>
        </w:rPr>
      </w:pPr>
      <w:r>
        <w:rPr>
          <w:rFonts w:ascii="宋体" w:hAnsi="宋体"/>
          <w:sz w:val="28"/>
          <w:szCs w:val="28"/>
        </w:rPr>
        <w:t>4.</w:t>
      </w:r>
      <w:r>
        <w:rPr>
          <w:rFonts w:hint="eastAsia" w:ascii="宋体" w:hAnsi="宋体"/>
          <w:sz w:val="28"/>
          <w:szCs w:val="28"/>
        </w:rPr>
        <w:t>有依法缴纳税收和社会保障资金的良好记录；</w:t>
      </w:r>
    </w:p>
    <w:p>
      <w:pPr>
        <w:autoSpaceDE w:val="0"/>
        <w:autoSpaceDN w:val="0"/>
        <w:adjustRightInd w:val="0"/>
        <w:spacing w:line="420" w:lineRule="atLeast"/>
        <w:ind w:firstLine="560" w:firstLineChars="200"/>
        <w:rPr>
          <w:rFonts w:ascii="宋体"/>
          <w:sz w:val="28"/>
          <w:szCs w:val="28"/>
        </w:rPr>
      </w:pPr>
      <w:r>
        <w:rPr>
          <w:rFonts w:ascii="宋体" w:hAnsi="宋体"/>
          <w:sz w:val="28"/>
          <w:szCs w:val="28"/>
        </w:rPr>
        <w:t>5.</w:t>
      </w:r>
      <w:r>
        <w:rPr>
          <w:rFonts w:hint="eastAsia" w:ascii="宋体" w:hAnsi="宋体"/>
          <w:sz w:val="28"/>
          <w:szCs w:val="28"/>
        </w:rPr>
        <w:t>参加政府采购活动前三年内，在经营活动中没有重大违法记录；</w:t>
      </w:r>
    </w:p>
    <w:p>
      <w:pPr>
        <w:autoSpaceDE w:val="0"/>
        <w:autoSpaceDN w:val="0"/>
        <w:adjustRightInd w:val="0"/>
        <w:spacing w:line="420" w:lineRule="atLeast"/>
        <w:ind w:firstLine="560" w:firstLineChars="200"/>
        <w:rPr>
          <w:rFonts w:ascii="宋体"/>
          <w:b/>
          <w:sz w:val="28"/>
          <w:szCs w:val="28"/>
          <w:lang w:val="zh-CN"/>
        </w:rPr>
      </w:pPr>
      <w:r>
        <w:rPr>
          <w:rFonts w:ascii="宋体" w:hAnsi="宋体"/>
          <w:sz w:val="28"/>
          <w:szCs w:val="28"/>
        </w:rPr>
        <w:t>6.</w:t>
      </w:r>
      <w:r>
        <w:rPr>
          <w:rFonts w:hint="eastAsia" w:ascii="宋体" w:hAnsi="宋体"/>
          <w:sz w:val="28"/>
          <w:szCs w:val="28"/>
        </w:rPr>
        <w:t>法律、行政法规规定的其他条件。</w:t>
      </w:r>
    </w:p>
    <w:p>
      <w:pPr>
        <w:spacing w:line="420" w:lineRule="atLeast"/>
        <w:ind w:firstLine="560" w:firstLineChars="200"/>
        <w:rPr>
          <w:rFonts w:ascii="宋体"/>
          <w:color w:val="000000"/>
          <w:sz w:val="28"/>
          <w:szCs w:val="28"/>
        </w:rPr>
      </w:pPr>
      <w:r>
        <w:rPr>
          <w:rFonts w:hint="eastAsia" w:ascii="宋体" w:hAnsi="宋体"/>
          <w:color w:val="000000"/>
          <w:sz w:val="28"/>
          <w:szCs w:val="28"/>
        </w:rPr>
        <w:t>（二）采购人根据采购项目的特殊要求规定的条件</w:t>
      </w:r>
    </w:p>
    <w:p>
      <w:pPr>
        <w:spacing w:line="480" w:lineRule="exact"/>
        <w:ind w:firstLine="560" w:firstLineChars="200"/>
        <w:rPr>
          <w:rFonts w:ascii="宋体"/>
          <w:b/>
          <w:sz w:val="28"/>
          <w:szCs w:val="28"/>
        </w:rPr>
      </w:pPr>
      <w:r>
        <w:rPr>
          <w:rFonts w:ascii="宋体" w:hAnsi="宋体"/>
          <w:sz w:val="28"/>
          <w:szCs w:val="28"/>
        </w:rPr>
        <w:t>1</w:t>
      </w:r>
      <w:r>
        <w:rPr>
          <w:rFonts w:hint="eastAsia" w:ascii="宋体" w:hAnsi="宋体"/>
          <w:sz w:val="28"/>
          <w:szCs w:val="28"/>
        </w:rPr>
        <w:t>、磋商供应商具有公安部信息安全等级保护评估中心颁发的《网络安全等级保护测评机构推荐证书》，提供证书复印件（加盖公章）；</w:t>
      </w:r>
    </w:p>
    <w:p>
      <w:pPr>
        <w:spacing w:line="480" w:lineRule="exact"/>
        <w:ind w:firstLine="560" w:firstLineChars="200"/>
        <w:rPr>
          <w:rFonts w:ascii="宋体"/>
          <w:sz w:val="28"/>
          <w:szCs w:val="28"/>
        </w:rPr>
      </w:pPr>
      <w:r>
        <w:rPr>
          <w:rFonts w:hint="eastAsia" w:ascii="宋体" w:hAnsi="宋体"/>
          <w:sz w:val="28"/>
          <w:szCs w:val="28"/>
        </w:rPr>
        <w:t>（三）本项目不接受联合体投标；</w:t>
      </w:r>
    </w:p>
    <w:p>
      <w:pPr>
        <w:spacing w:line="480" w:lineRule="exact"/>
        <w:ind w:firstLine="560" w:firstLineChars="200"/>
        <w:rPr>
          <w:rFonts w:ascii="宋体" w:hAnsi="宋体"/>
          <w:sz w:val="28"/>
          <w:szCs w:val="28"/>
        </w:rPr>
      </w:pPr>
      <w:r>
        <w:rPr>
          <w:rFonts w:hint="eastAsia" w:ascii="宋体" w:hAnsi="宋体"/>
          <w:sz w:val="28"/>
          <w:szCs w:val="28"/>
        </w:rPr>
        <w:t>八、实施期限：合同签订完毕一周内启动测评工作，30个工作日内完成等级保护测评并出具盖章报告。</w:t>
      </w:r>
    </w:p>
    <w:p>
      <w:pPr>
        <w:spacing w:line="480" w:lineRule="exact"/>
        <w:ind w:firstLine="560" w:firstLineChars="200"/>
        <w:rPr>
          <w:rFonts w:ascii="宋体"/>
          <w:sz w:val="28"/>
          <w:szCs w:val="28"/>
        </w:rPr>
      </w:pPr>
      <w:r>
        <w:rPr>
          <w:rFonts w:hint="eastAsia" w:ascii="宋体" w:hAnsi="宋体"/>
          <w:sz w:val="28"/>
          <w:szCs w:val="28"/>
        </w:rPr>
        <w:t>九、获取招标文件方法：供应商可自行在南通市档案馆网站（http://daj.nantong.gov.cn/）下载招标文件</w:t>
      </w:r>
      <w:r>
        <w:rPr>
          <w:rFonts w:hint="eastAsia" w:ascii="宋体" w:hAnsi="宋体"/>
          <w:sz w:val="28"/>
          <w:szCs w:val="28"/>
        </w:rPr>
        <w:t>。</w:t>
      </w:r>
    </w:p>
    <w:p>
      <w:pPr>
        <w:snapToGrid w:val="0"/>
        <w:spacing w:line="480" w:lineRule="exact"/>
        <w:ind w:firstLine="560" w:firstLineChars="200"/>
        <w:rPr>
          <w:rFonts w:ascii="宋体" w:hAnsi="宋体"/>
          <w:sz w:val="28"/>
          <w:szCs w:val="28"/>
        </w:rPr>
      </w:pPr>
      <w:r>
        <w:rPr>
          <w:rFonts w:hint="eastAsia" w:ascii="宋体" w:hAnsi="宋体"/>
          <w:sz w:val="28"/>
          <w:szCs w:val="28"/>
        </w:rPr>
        <w:t>十、投标截止时间及询价时间：2020年7月30日上午9:30</w:t>
      </w:r>
      <w:r>
        <w:rPr>
          <w:rFonts w:hint="eastAsia" w:ascii="宋体" w:hAnsi="宋体"/>
          <w:sz w:val="28"/>
          <w:szCs w:val="28"/>
        </w:rPr>
        <w:t>（北京时间）</w:t>
      </w:r>
    </w:p>
    <w:p>
      <w:pPr>
        <w:snapToGrid w:val="0"/>
        <w:spacing w:line="480" w:lineRule="exact"/>
        <w:ind w:firstLine="560" w:firstLineChars="200"/>
        <w:rPr>
          <w:rFonts w:ascii="宋体" w:hAnsi="宋体"/>
          <w:sz w:val="28"/>
          <w:szCs w:val="28"/>
        </w:rPr>
      </w:pPr>
      <w:r>
        <w:rPr>
          <w:rFonts w:hint="eastAsia" w:ascii="宋体" w:hAnsi="宋体"/>
          <w:sz w:val="28"/>
          <w:szCs w:val="28"/>
        </w:rPr>
        <w:t>十一、投标、开标地点：南通市崇川区世纪大道6号，行政中心档案馆二楼会议室。</w:t>
      </w:r>
    </w:p>
    <w:p>
      <w:pPr>
        <w:pStyle w:val="2"/>
        <w:rPr>
          <w:sz w:val="28"/>
          <w:szCs w:val="28"/>
        </w:rPr>
      </w:pPr>
    </w:p>
    <w:p>
      <w:pPr>
        <w:rPr>
          <w:rFonts w:ascii="宋体" w:hAnsi="宋体" w:cs="仿宋"/>
        </w:rPr>
      </w:pPr>
      <w:bookmarkStart w:id="1" w:name="_Toc33457481"/>
      <w:r>
        <w:rPr>
          <w:rFonts w:hint="eastAsia" w:ascii="宋体" w:hAnsi="宋体" w:cs="仿宋"/>
        </w:rPr>
        <w:br w:type="page"/>
      </w:r>
    </w:p>
    <w:p>
      <w:pPr>
        <w:pStyle w:val="3"/>
        <w:spacing w:before="240" w:after="240" w:line="360" w:lineRule="auto"/>
        <w:jc w:val="center"/>
        <w:rPr>
          <w:rFonts w:ascii="宋体" w:cs="仿宋"/>
        </w:rPr>
      </w:pPr>
      <w:r>
        <w:rPr>
          <w:rFonts w:hint="eastAsia" w:ascii="宋体" w:hAnsi="宋体" w:cs="仿宋"/>
        </w:rPr>
        <w:t>第二章投标人须知</w:t>
      </w:r>
      <w:bookmarkEnd w:id="1"/>
    </w:p>
    <w:p>
      <w:pPr>
        <w:snapToGrid w:val="0"/>
        <w:spacing w:beforeLines="50" w:afterLines="50" w:line="360" w:lineRule="auto"/>
        <w:ind w:firstLine="551" w:firstLineChars="196"/>
        <w:rPr>
          <w:rFonts w:ascii="宋体" w:cs="仿宋"/>
          <w:b/>
          <w:sz w:val="28"/>
          <w:szCs w:val="24"/>
        </w:rPr>
      </w:pPr>
      <w:r>
        <w:rPr>
          <w:rFonts w:hint="eastAsia" w:ascii="宋体" w:hAnsi="宋体" w:cs="仿宋"/>
          <w:b/>
          <w:sz w:val="28"/>
          <w:szCs w:val="24"/>
        </w:rPr>
        <w:t>一、招标文件由招标人解释</w:t>
      </w:r>
    </w:p>
    <w:p>
      <w:pPr>
        <w:snapToGrid w:val="0"/>
        <w:spacing w:line="360" w:lineRule="auto"/>
        <w:ind w:firstLine="560" w:firstLineChars="200"/>
        <w:rPr>
          <w:rFonts w:ascii="宋体" w:cs="仿宋"/>
          <w:b/>
          <w:sz w:val="28"/>
          <w:szCs w:val="24"/>
        </w:rPr>
      </w:pPr>
      <w:r>
        <w:rPr>
          <w:rFonts w:ascii="宋体" w:hAnsi="宋体" w:cs="仿宋"/>
          <w:sz w:val="28"/>
          <w:szCs w:val="24"/>
        </w:rPr>
        <w:t>1</w:t>
      </w:r>
      <w:r>
        <w:rPr>
          <w:rFonts w:hint="eastAsia" w:ascii="宋体" w:hAnsi="宋体" w:cs="仿宋"/>
          <w:sz w:val="28"/>
          <w:szCs w:val="24"/>
        </w:rPr>
        <w:t>、投标人应仔细检查招标文件的所有内容，如有资格要求和技术参数含有倾向性或排他性等表述的，应在发布招标公告和招标文件后</w:t>
      </w:r>
      <w:r>
        <w:rPr>
          <w:rFonts w:ascii="宋体" w:hAnsi="宋体" w:cs="仿宋"/>
          <w:sz w:val="28"/>
          <w:szCs w:val="24"/>
        </w:rPr>
        <w:t>3</w:t>
      </w:r>
      <w:r>
        <w:rPr>
          <w:rFonts w:hint="eastAsia" w:ascii="宋体" w:hAnsi="宋体" w:cs="仿宋"/>
          <w:sz w:val="28"/>
          <w:szCs w:val="24"/>
        </w:rPr>
        <w:t>日内以书面形式提出询问或疑问，未在规定的</w:t>
      </w:r>
      <w:r>
        <w:rPr>
          <w:rFonts w:ascii="宋体" w:hAnsi="宋体" w:cs="仿宋"/>
          <w:sz w:val="28"/>
          <w:szCs w:val="24"/>
        </w:rPr>
        <w:t>3</w:t>
      </w:r>
      <w:r>
        <w:rPr>
          <w:rFonts w:hint="eastAsia" w:ascii="宋体" w:hAnsi="宋体" w:cs="仿宋"/>
          <w:sz w:val="28"/>
          <w:szCs w:val="24"/>
        </w:rPr>
        <w:t>日内提出询问或疑问的，视同投标人理解并接受本招标文件所有内容，并由此引起的投标损失自负。投标人不得在招标结束后针对招标文件所有内容提出质疑事项。</w:t>
      </w:r>
      <w:r>
        <w:rPr>
          <w:rFonts w:hint="eastAsia" w:ascii="宋体" w:hAnsi="宋体" w:cs="仿宋"/>
          <w:b/>
          <w:sz w:val="28"/>
          <w:szCs w:val="24"/>
        </w:rPr>
        <w:t>非书面形式的不作为日后质疑提出的依据。</w:t>
      </w:r>
    </w:p>
    <w:p>
      <w:pPr>
        <w:snapToGrid w:val="0"/>
        <w:spacing w:line="360" w:lineRule="auto"/>
        <w:ind w:firstLine="560" w:firstLineChars="200"/>
        <w:rPr>
          <w:rFonts w:ascii="宋体" w:cs="仿宋"/>
          <w:sz w:val="28"/>
          <w:szCs w:val="24"/>
        </w:rPr>
      </w:pPr>
      <w:r>
        <w:rPr>
          <w:rFonts w:ascii="宋体" w:hAnsi="宋体" w:cs="仿宋"/>
          <w:sz w:val="28"/>
          <w:szCs w:val="24"/>
        </w:rPr>
        <w:t>2</w:t>
      </w:r>
      <w:r>
        <w:rPr>
          <w:rFonts w:hint="eastAsia" w:ascii="宋体" w:hAnsi="宋体" w:cs="仿宋"/>
          <w:sz w:val="28"/>
          <w:szCs w:val="24"/>
        </w:rPr>
        <w:t>、投标人应认真审阅招标文件中所有的事项、格式、条款和规范要求等，如果投标人没有按照招标文件要求提交投标文件，或者投标文件没有对招标文件做出实质性响应，其投标将被拒绝，投标人自行承担责任。</w:t>
      </w:r>
    </w:p>
    <w:p>
      <w:pPr>
        <w:snapToGrid w:val="0"/>
        <w:spacing w:line="360" w:lineRule="auto"/>
        <w:ind w:firstLine="560" w:firstLineChars="200"/>
        <w:rPr>
          <w:rFonts w:ascii="宋体" w:cs="仿宋"/>
          <w:sz w:val="28"/>
          <w:szCs w:val="24"/>
        </w:rPr>
      </w:pPr>
      <w:r>
        <w:rPr>
          <w:rFonts w:ascii="宋体" w:hAnsi="宋体" w:cs="仿宋"/>
          <w:sz w:val="28"/>
          <w:szCs w:val="24"/>
        </w:rPr>
        <w:t>3</w:t>
      </w:r>
      <w:r>
        <w:rPr>
          <w:rFonts w:hint="eastAsia" w:ascii="宋体" w:hAnsi="宋体" w:cs="仿宋"/>
          <w:sz w:val="28"/>
          <w:szCs w:val="24"/>
        </w:rPr>
        <w:t>、符合资格要求的投标人不足</w:t>
      </w:r>
      <w:r>
        <w:rPr>
          <w:rFonts w:ascii="宋体" w:hAnsi="宋体" w:cs="仿宋"/>
          <w:sz w:val="28"/>
          <w:szCs w:val="24"/>
        </w:rPr>
        <w:t>3</w:t>
      </w:r>
      <w:r>
        <w:rPr>
          <w:rFonts w:hint="eastAsia" w:ascii="宋体" w:hAnsi="宋体" w:cs="仿宋"/>
          <w:sz w:val="28"/>
          <w:szCs w:val="24"/>
        </w:rPr>
        <w:t>家不开标。</w:t>
      </w:r>
    </w:p>
    <w:p>
      <w:pPr>
        <w:snapToGrid w:val="0"/>
        <w:spacing w:beforeLines="50" w:afterLines="50" w:line="360" w:lineRule="auto"/>
        <w:ind w:firstLine="551" w:firstLineChars="196"/>
        <w:rPr>
          <w:rFonts w:ascii="宋体" w:cs="仿宋"/>
          <w:b/>
          <w:sz w:val="28"/>
          <w:szCs w:val="24"/>
        </w:rPr>
      </w:pPr>
      <w:r>
        <w:rPr>
          <w:rFonts w:hint="eastAsia" w:ascii="宋体" w:hAnsi="宋体" w:cs="仿宋"/>
          <w:b/>
          <w:sz w:val="28"/>
          <w:szCs w:val="24"/>
        </w:rPr>
        <w:t>二、招标文件的澄清、修改、答疑</w:t>
      </w:r>
    </w:p>
    <w:p>
      <w:pPr>
        <w:snapToGrid w:val="0"/>
        <w:spacing w:line="360" w:lineRule="auto"/>
        <w:ind w:firstLine="560" w:firstLineChars="200"/>
        <w:rPr>
          <w:rFonts w:ascii="宋体" w:cs="仿宋"/>
          <w:sz w:val="28"/>
          <w:szCs w:val="24"/>
        </w:rPr>
      </w:pPr>
      <w:r>
        <w:rPr>
          <w:rFonts w:ascii="宋体" w:hAnsi="宋体" w:cs="仿宋"/>
          <w:sz w:val="28"/>
          <w:szCs w:val="24"/>
        </w:rPr>
        <w:t>1</w:t>
      </w:r>
      <w:r>
        <w:rPr>
          <w:rFonts w:hint="eastAsia" w:ascii="宋体" w:hAnsi="宋体" w:cs="仿宋"/>
          <w:sz w:val="28"/>
          <w:szCs w:val="24"/>
        </w:rPr>
        <w:t>、招标人有权对发出的招标文件进行必要的澄清或修改。</w:t>
      </w:r>
    </w:p>
    <w:p>
      <w:pPr>
        <w:snapToGrid w:val="0"/>
        <w:spacing w:line="360" w:lineRule="auto"/>
        <w:ind w:firstLine="560" w:firstLineChars="200"/>
        <w:rPr>
          <w:rFonts w:ascii="宋体" w:cs="仿宋"/>
          <w:sz w:val="28"/>
          <w:szCs w:val="24"/>
        </w:rPr>
      </w:pPr>
      <w:r>
        <w:rPr>
          <w:rFonts w:ascii="宋体" w:hAnsi="宋体" w:cs="仿宋"/>
          <w:sz w:val="28"/>
          <w:szCs w:val="24"/>
        </w:rPr>
        <w:t>2</w:t>
      </w:r>
      <w:r>
        <w:rPr>
          <w:rFonts w:hint="eastAsia" w:ascii="宋体" w:hAnsi="宋体" w:cs="仿宋"/>
          <w:sz w:val="28"/>
          <w:szCs w:val="24"/>
        </w:rPr>
        <w:t>、招标人可视情取消、延长相关时间，不负责解释。</w:t>
      </w:r>
    </w:p>
    <w:p>
      <w:pPr>
        <w:snapToGrid w:val="0"/>
        <w:spacing w:line="360" w:lineRule="auto"/>
        <w:ind w:firstLine="560" w:firstLineChars="200"/>
        <w:rPr>
          <w:rFonts w:ascii="宋体" w:cs="仿宋"/>
          <w:sz w:val="28"/>
          <w:szCs w:val="24"/>
        </w:rPr>
      </w:pPr>
      <w:r>
        <w:rPr>
          <w:rFonts w:ascii="宋体" w:hAnsi="宋体" w:cs="仿宋"/>
          <w:sz w:val="28"/>
          <w:szCs w:val="24"/>
        </w:rPr>
        <w:t>3</w:t>
      </w:r>
      <w:r>
        <w:rPr>
          <w:rFonts w:hint="eastAsia" w:ascii="宋体" w:hAnsi="宋体" w:cs="仿宋"/>
          <w:sz w:val="28"/>
          <w:szCs w:val="24"/>
        </w:rPr>
        <w:t>、招标人对招标文件的澄清、修改将构成招标文件的一部分，对投标人具有约束力。</w:t>
      </w:r>
    </w:p>
    <w:p>
      <w:pPr>
        <w:snapToGrid w:val="0"/>
        <w:spacing w:line="360" w:lineRule="auto"/>
        <w:ind w:firstLine="560" w:firstLineChars="200"/>
        <w:rPr>
          <w:rFonts w:ascii="宋体" w:cs="仿宋"/>
          <w:sz w:val="28"/>
          <w:szCs w:val="24"/>
        </w:rPr>
      </w:pPr>
      <w:r>
        <w:rPr>
          <w:rFonts w:ascii="宋体" w:hAnsi="宋体" w:cs="仿宋"/>
          <w:sz w:val="28"/>
          <w:szCs w:val="24"/>
        </w:rPr>
        <w:t>4</w:t>
      </w:r>
      <w:r>
        <w:rPr>
          <w:rFonts w:hint="eastAsia" w:ascii="宋体" w:hAnsi="宋体" w:cs="仿宋"/>
          <w:sz w:val="28"/>
          <w:szCs w:val="24"/>
        </w:rPr>
        <w:t>、投标人由于对招标文件的任何推论和误解以及招标人对有关问题的口头解释所造成的后果，均由投标人自负。</w:t>
      </w:r>
    </w:p>
    <w:p>
      <w:pPr>
        <w:snapToGrid w:val="0"/>
        <w:spacing w:line="360" w:lineRule="auto"/>
        <w:ind w:firstLine="560" w:firstLineChars="200"/>
        <w:rPr>
          <w:rFonts w:ascii="宋体" w:cs="仿宋"/>
          <w:sz w:val="28"/>
          <w:szCs w:val="24"/>
        </w:rPr>
      </w:pPr>
      <w:r>
        <w:rPr>
          <w:rFonts w:ascii="宋体" w:hAnsi="宋体" w:cs="仿宋"/>
          <w:sz w:val="28"/>
          <w:szCs w:val="24"/>
        </w:rPr>
        <w:t>5</w:t>
      </w:r>
      <w:r>
        <w:rPr>
          <w:rFonts w:hint="eastAsia" w:ascii="宋体" w:hAnsi="宋体" w:cs="仿宋"/>
          <w:sz w:val="28"/>
          <w:szCs w:val="24"/>
        </w:rPr>
        <w:t>、招标人或采购单位视情组织答疑会。</w:t>
      </w:r>
    </w:p>
    <w:p>
      <w:pPr>
        <w:snapToGrid w:val="0"/>
        <w:spacing w:beforeLines="50" w:afterLines="50" w:line="360" w:lineRule="auto"/>
        <w:ind w:firstLine="551" w:firstLineChars="196"/>
        <w:rPr>
          <w:rFonts w:ascii="宋体" w:cs="仿宋"/>
          <w:b/>
          <w:sz w:val="28"/>
          <w:szCs w:val="24"/>
        </w:rPr>
      </w:pPr>
      <w:r>
        <w:rPr>
          <w:rFonts w:hint="eastAsia" w:ascii="宋体" w:hAnsi="宋体" w:cs="仿宋"/>
          <w:b/>
          <w:sz w:val="28"/>
          <w:szCs w:val="24"/>
        </w:rPr>
        <w:t>三、投标报价</w:t>
      </w:r>
    </w:p>
    <w:p>
      <w:pPr>
        <w:snapToGrid w:val="0"/>
        <w:spacing w:line="360" w:lineRule="auto"/>
        <w:ind w:firstLine="560" w:firstLineChars="200"/>
        <w:rPr>
          <w:rFonts w:ascii="宋体" w:cs="仿宋"/>
          <w:sz w:val="28"/>
          <w:szCs w:val="28"/>
        </w:rPr>
      </w:pPr>
      <w:r>
        <w:rPr>
          <w:rFonts w:hint="eastAsia" w:ascii="宋体" w:hAnsi="宋体" w:cs="仿宋"/>
          <w:sz w:val="28"/>
          <w:szCs w:val="28"/>
        </w:rPr>
        <w:t>供应商的报价不得超过项目预算，否则作为无效标处理。</w:t>
      </w:r>
    </w:p>
    <w:p>
      <w:pPr>
        <w:snapToGrid w:val="0"/>
        <w:spacing w:beforeLines="50" w:afterLines="50" w:line="360" w:lineRule="auto"/>
        <w:ind w:firstLine="551" w:firstLineChars="196"/>
        <w:rPr>
          <w:rFonts w:ascii="宋体" w:cs="仿宋"/>
          <w:b/>
          <w:sz w:val="28"/>
          <w:szCs w:val="24"/>
        </w:rPr>
      </w:pPr>
      <w:r>
        <w:rPr>
          <w:rFonts w:hint="eastAsia" w:ascii="宋体" w:hAnsi="宋体" w:cs="仿宋"/>
          <w:b/>
          <w:sz w:val="28"/>
          <w:szCs w:val="24"/>
        </w:rPr>
        <w:t>四、投标文件的组成</w:t>
      </w:r>
    </w:p>
    <w:p>
      <w:pPr>
        <w:snapToGrid w:val="0"/>
        <w:spacing w:line="360" w:lineRule="auto"/>
        <w:ind w:firstLine="560" w:firstLineChars="200"/>
        <w:rPr>
          <w:rFonts w:ascii="宋体" w:cs="仿宋"/>
          <w:sz w:val="28"/>
          <w:szCs w:val="24"/>
        </w:rPr>
      </w:pPr>
      <w:r>
        <w:rPr>
          <w:rFonts w:hint="eastAsia" w:ascii="宋体" w:hAnsi="宋体" w:cs="仿宋"/>
          <w:sz w:val="28"/>
          <w:szCs w:val="24"/>
        </w:rPr>
        <w:t>投标文件由价格标和商务技术标两部分组成。</w:t>
      </w:r>
    </w:p>
    <w:p>
      <w:pPr>
        <w:snapToGrid w:val="0"/>
        <w:spacing w:line="360" w:lineRule="auto"/>
        <w:ind w:firstLine="562" w:firstLineChars="200"/>
        <w:rPr>
          <w:rFonts w:ascii="宋体" w:cs="仿宋"/>
          <w:sz w:val="28"/>
          <w:szCs w:val="24"/>
        </w:rPr>
      </w:pPr>
      <w:r>
        <w:rPr>
          <w:rFonts w:hint="eastAsia" w:ascii="宋体" w:hAnsi="宋体" w:cs="仿宋"/>
          <w:b/>
          <w:bCs/>
          <w:sz w:val="28"/>
          <w:szCs w:val="24"/>
        </w:rPr>
        <w:t>（一）价格标，单独密封，不得出现在技术标文件中</w:t>
      </w:r>
    </w:p>
    <w:p>
      <w:pPr>
        <w:snapToGrid w:val="0"/>
        <w:spacing w:line="360" w:lineRule="auto"/>
        <w:ind w:firstLine="560" w:firstLineChars="200"/>
        <w:rPr>
          <w:rFonts w:ascii="宋体" w:cs="仿宋"/>
          <w:sz w:val="28"/>
          <w:szCs w:val="24"/>
        </w:rPr>
      </w:pPr>
      <w:r>
        <w:rPr>
          <w:rFonts w:ascii="宋体" w:hAnsi="宋体" w:cs="仿宋"/>
          <w:sz w:val="28"/>
          <w:szCs w:val="24"/>
        </w:rPr>
        <w:t>1</w:t>
      </w:r>
      <w:r>
        <w:rPr>
          <w:rFonts w:hint="eastAsia" w:ascii="宋体" w:hAnsi="宋体" w:cs="仿宋"/>
          <w:sz w:val="28"/>
          <w:szCs w:val="24"/>
        </w:rPr>
        <w:t>、投标报价总表（见附件二）；</w:t>
      </w:r>
    </w:p>
    <w:p>
      <w:pPr>
        <w:snapToGrid w:val="0"/>
        <w:spacing w:line="360" w:lineRule="auto"/>
        <w:ind w:firstLine="560" w:firstLineChars="200"/>
        <w:rPr>
          <w:rFonts w:ascii="宋体" w:cs="仿宋"/>
          <w:sz w:val="28"/>
          <w:szCs w:val="24"/>
        </w:rPr>
      </w:pPr>
      <w:r>
        <w:rPr>
          <w:rFonts w:ascii="宋体" w:hAnsi="宋体" w:cs="仿宋"/>
          <w:sz w:val="28"/>
          <w:szCs w:val="24"/>
        </w:rPr>
        <w:t>2</w:t>
      </w:r>
      <w:r>
        <w:rPr>
          <w:rFonts w:hint="eastAsia" w:ascii="宋体" w:hAnsi="宋体" w:cs="仿宋"/>
          <w:sz w:val="28"/>
          <w:szCs w:val="24"/>
        </w:rPr>
        <w:t>、投标报价明细表。</w:t>
      </w:r>
    </w:p>
    <w:p>
      <w:pPr>
        <w:snapToGrid w:val="0"/>
        <w:spacing w:line="360" w:lineRule="auto"/>
        <w:ind w:firstLine="562" w:firstLineChars="200"/>
        <w:rPr>
          <w:rFonts w:ascii="宋体" w:cs="仿宋"/>
          <w:sz w:val="28"/>
          <w:szCs w:val="24"/>
        </w:rPr>
      </w:pPr>
      <w:r>
        <w:rPr>
          <w:rFonts w:hint="eastAsia" w:ascii="宋体" w:hAnsi="宋体" w:cs="仿宋"/>
          <w:b/>
          <w:bCs/>
          <w:sz w:val="28"/>
          <w:szCs w:val="24"/>
        </w:rPr>
        <w:t>（二）商务技术标提交的材料（不得出现报价）</w:t>
      </w:r>
    </w:p>
    <w:p>
      <w:pPr>
        <w:snapToGrid w:val="0"/>
        <w:spacing w:line="360" w:lineRule="auto"/>
        <w:ind w:firstLine="560" w:firstLineChars="200"/>
        <w:rPr>
          <w:rFonts w:ascii="宋体" w:cs="仿宋"/>
          <w:sz w:val="28"/>
          <w:szCs w:val="24"/>
        </w:rPr>
      </w:pPr>
      <w:r>
        <w:rPr>
          <w:rFonts w:ascii="宋体" w:hAnsi="宋体" w:cs="仿宋"/>
          <w:sz w:val="28"/>
          <w:szCs w:val="24"/>
        </w:rPr>
        <w:t>1</w:t>
      </w:r>
      <w:r>
        <w:rPr>
          <w:rFonts w:hint="eastAsia" w:ascii="宋体" w:hAnsi="宋体" w:cs="仿宋"/>
          <w:sz w:val="28"/>
          <w:szCs w:val="24"/>
        </w:rPr>
        <w:t>、投标承诺书（见附件三）；</w:t>
      </w:r>
    </w:p>
    <w:p>
      <w:pPr>
        <w:snapToGrid w:val="0"/>
        <w:spacing w:line="360" w:lineRule="auto"/>
        <w:ind w:firstLine="560" w:firstLineChars="200"/>
        <w:rPr>
          <w:rFonts w:ascii="宋体" w:cs="仿宋"/>
          <w:sz w:val="28"/>
          <w:szCs w:val="24"/>
        </w:rPr>
      </w:pPr>
      <w:r>
        <w:rPr>
          <w:rFonts w:ascii="宋体" w:hAnsi="宋体" w:cs="仿宋"/>
          <w:sz w:val="28"/>
          <w:szCs w:val="24"/>
        </w:rPr>
        <w:t>2</w:t>
      </w:r>
      <w:r>
        <w:rPr>
          <w:rFonts w:hint="eastAsia" w:ascii="宋体" w:hAnsi="宋体" w:cs="仿宋"/>
          <w:sz w:val="28"/>
          <w:szCs w:val="24"/>
        </w:rPr>
        <w:t>、法定代表人授权委托书及本人身份证复印件（见附件一）；</w:t>
      </w:r>
    </w:p>
    <w:p>
      <w:pPr>
        <w:snapToGrid w:val="0"/>
        <w:spacing w:line="360" w:lineRule="auto"/>
        <w:ind w:firstLine="560" w:firstLineChars="200"/>
        <w:rPr>
          <w:rFonts w:ascii="宋体" w:cs="仿宋"/>
          <w:sz w:val="28"/>
          <w:szCs w:val="24"/>
        </w:rPr>
      </w:pPr>
      <w:r>
        <w:rPr>
          <w:rFonts w:ascii="宋体" w:hAnsi="宋体" w:cs="仿宋"/>
          <w:sz w:val="28"/>
          <w:szCs w:val="24"/>
        </w:rPr>
        <w:t>3</w:t>
      </w:r>
      <w:r>
        <w:rPr>
          <w:rFonts w:hint="eastAsia" w:ascii="宋体" w:hAnsi="宋体" w:cs="仿宋"/>
          <w:sz w:val="28"/>
          <w:szCs w:val="24"/>
        </w:rPr>
        <w:t>、营业执照复印件；</w:t>
      </w:r>
    </w:p>
    <w:p>
      <w:pPr>
        <w:snapToGrid w:val="0"/>
        <w:spacing w:line="360" w:lineRule="auto"/>
        <w:ind w:firstLine="560" w:firstLineChars="200"/>
        <w:rPr>
          <w:rFonts w:ascii="宋体" w:cs="仿宋"/>
          <w:sz w:val="28"/>
          <w:szCs w:val="24"/>
        </w:rPr>
      </w:pPr>
      <w:r>
        <w:rPr>
          <w:rFonts w:ascii="宋体" w:hAnsi="宋体" w:cs="仿宋"/>
          <w:sz w:val="28"/>
          <w:szCs w:val="24"/>
        </w:rPr>
        <w:t>4</w:t>
      </w:r>
      <w:r>
        <w:rPr>
          <w:rFonts w:hint="eastAsia" w:ascii="宋体" w:hAnsi="宋体" w:cs="仿宋"/>
          <w:sz w:val="28"/>
          <w:szCs w:val="24"/>
        </w:rPr>
        <w:t>、符合资格条件的资格证书复印件；</w:t>
      </w:r>
    </w:p>
    <w:p>
      <w:pPr>
        <w:snapToGrid w:val="0"/>
        <w:spacing w:line="360" w:lineRule="auto"/>
        <w:ind w:firstLine="560" w:firstLineChars="200"/>
        <w:rPr>
          <w:rFonts w:ascii="宋体" w:cs="仿宋"/>
          <w:sz w:val="28"/>
          <w:szCs w:val="24"/>
        </w:rPr>
      </w:pPr>
      <w:r>
        <w:rPr>
          <w:rFonts w:ascii="宋体" w:hAnsi="宋体" w:cs="仿宋"/>
          <w:sz w:val="28"/>
          <w:szCs w:val="24"/>
        </w:rPr>
        <w:t>5</w:t>
      </w:r>
      <w:r>
        <w:rPr>
          <w:rFonts w:hint="eastAsia" w:ascii="宋体" w:hAnsi="宋体" w:cs="仿宋"/>
          <w:sz w:val="28"/>
          <w:szCs w:val="24"/>
        </w:rPr>
        <w:t>、为方便评委评审，请投标人按评标办法中所涉及的事项顺序进行编制，可以补充相关材料。</w:t>
      </w:r>
    </w:p>
    <w:p>
      <w:pPr>
        <w:snapToGrid w:val="0"/>
        <w:spacing w:line="360" w:lineRule="auto"/>
        <w:ind w:firstLine="560" w:firstLineChars="200"/>
        <w:rPr>
          <w:rFonts w:ascii="宋体" w:cs="仿宋"/>
          <w:sz w:val="28"/>
          <w:szCs w:val="24"/>
        </w:rPr>
      </w:pPr>
      <w:r>
        <w:rPr>
          <w:rFonts w:ascii="宋体" w:hAnsi="宋体" w:cs="仿宋"/>
          <w:sz w:val="28"/>
          <w:szCs w:val="24"/>
        </w:rPr>
        <w:t>6</w:t>
      </w:r>
      <w:r>
        <w:rPr>
          <w:rFonts w:hint="eastAsia" w:ascii="宋体" w:hAnsi="宋体" w:cs="仿宋"/>
          <w:sz w:val="28"/>
          <w:szCs w:val="24"/>
        </w:rPr>
        <w:t>、评标办法中未涉及的事项，投标人认为需要提交的其他资料</w:t>
      </w:r>
    </w:p>
    <w:p>
      <w:pPr>
        <w:snapToGrid w:val="0"/>
        <w:spacing w:line="360" w:lineRule="auto"/>
        <w:ind w:firstLine="562" w:firstLineChars="200"/>
        <w:rPr>
          <w:rFonts w:ascii="宋体" w:cs="仿宋"/>
          <w:b/>
          <w:sz w:val="28"/>
          <w:szCs w:val="24"/>
        </w:rPr>
      </w:pPr>
      <w:r>
        <w:rPr>
          <w:rFonts w:hint="eastAsia" w:ascii="宋体" w:hAnsi="宋体" w:cs="仿宋"/>
          <w:b/>
          <w:sz w:val="28"/>
          <w:szCs w:val="24"/>
        </w:rPr>
        <w:t>注意事项：</w:t>
      </w:r>
    </w:p>
    <w:p>
      <w:pPr>
        <w:snapToGrid w:val="0"/>
        <w:spacing w:line="360" w:lineRule="auto"/>
        <w:ind w:firstLine="560" w:firstLineChars="200"/>
        <w:rPr>
          <w:rFonts w:ascii="宋体" w:cs="仿宋"/>
          <w:sz w:val="28"/>
          <w:szCs w:val="24"/>
        </w:rPr>
      </w:pPr>
      <w:r>
        <w:rPr>
          <w:rFonts w:hint="eastAsia" w:ascii="宋体" w:hAnsi="宋体" w:cs="仿宋"/>
          <w:sz w:val="28"/>
          <w:szCs w:val="24"/>
        </w:rPr>
        <w:t>价格标文件，商务技术文件请单独密封，商务技术标部分不得出现价格，不按照投标报价总表（附件二）格式报价的直接判断无效标书。</w:t>
      </w:r>
    </w:p>
    <w:p>
      <w:pPr>
        <w:snapToGrid w:val="0"/>
        <w:spacing w:line="360" w:lineRule="auto"/>
        <w:ind w:firstLine="560" w:firstLineChars="200"/>
        <w:rPr>
          <w:rFonts w:ascii="宋体" w:cs="仿宋"/>
          <w:sz w:val="28"/>
          <w:szCs w:val="24"/>
        </w:rPr>
      </w:pPr>
      <w:r>
        <w:rPr>
          <w:rFonts w:hint="eastAsia" w:ascii="宋体" w:hAnsi="宋体" w:cs="仿宋"/>
          <w:sz w:val="28"/>
          <w:szCs w:val="24"/>
        </w:rPr>
        <w:t>（三）投标文件规格幅面</w:t>
      </w:r>
      <w:r>
        <w:rPr>
          <w:rFonts w:ascii="宋体" w:hAnsi="宋体" w:cs="仿宋"/>
          <w:sz w:val="28"/>
          <w:szCs w:val="24"/>
        </w:rPr>
        <w:t>A4</w:t>
      </w:r>
      <w:r>
        <w:rPr>
          <w:rFonts w:hint="eastAsia" w:ascii="宋体" w:hAnsi="宋体" w:cs="仿宋"/>
          <w:sz w:val="28"/>
          <w:szCs w:val="24"/>
        </w:rPr>
        <w:t>纸（图纸等除外），按照招标文件所规定的内容顺序，统一编目、编页码装订（投标文件中复印件及彩色宣传资料等均须与投标文件正文一起逐页编排页码）。由于编排混乱导致投标文件被误读或查找不到，其责任应当由投标人承担。不得将内容拆开投标，并牢固装订成册。不允许使用活页夹、拉杆夹、文件夹、塑料方便式书脊（插入式或穿孔式）装订。投标文件不得行间插字、涂改、增删，如修补错漏处，须经投标文件签署人签字并加盖公章。</w:t>
      </w:r>
    </w:p>
    <w:p>
      <w:pPr>
        <w:snapToGrid w:val="0"/>
        <w:spacing w:line="360" w:lineRule="auto"/>
        <w:ind w:firstLine="560" w:firstLineChars="200"/>
        <w:rPr>
          <w:rFonts w:ascii="宋体" w:cs="仿宋"/>
          <w:sz w:val="28"/>
          <w:szCs w:val="24"/>
        </w:rPr>
      </w:pPr>
      <w:r>
        <w:rPr>
          <w:rFonts w:hint="eastAsia" w:ascii="宋体" w:hAnsi="宋体" w:cs="仿宋"/>
          <w:sz w:val="28"/>
          <w:szCs w:val="24"/>
        </w:rPr>
        <w:t>（四）投标文件一份正本和二份副本，并明确标注投标人全称、“正本”、“副本”字样。</w:t>
      </w:r>
      <w:r>
        <w:rPr>
          <w:rFonts w:ascii="宋体" w:cs="仿宋"/>
          <w:b/>
          <w:sz w:val="28"/>
          <w:szCs w:val="24"/>
        </w:rPr>
        <w:br w:type="page"/>
      </w:r>
    </w:p>
    <w:p>
      <w:pPr>
        <w:snapToGrid w:val="0"/>
        <w:spacing w:beforeLines="50" w:afterLines="50" w:line="360" w:lineRule="auto"/>
        <w:ind w:firstLine="551" w:firstLineChars="196"/>
        <w:rPr>
          <w:rFonts w:ascii="宋体" w:cs="仿宋"/>
          <w:b/>
          <w:sz w:val="28"/>
          <w:szCs w:val="24"/>
        </w:rPr>
      </w:pPr>
      <w:r>
        <w:rPr>
          <w:rFonts w:hint="eastAsia" w:ascii="宋体" w:hAnsi="宋体" w:cs="仿宋"/>
          <w:b/>
          <w:sz w:val="28"/>
          <w:szCs w:val="24"/>
        </w:rPr>
        <w:t>六、投标文件的密封及标记</w:t>
      </w:r>
    </w:p>
    <w:p>
      <w:pPr>
        <w:snapToGrid w:val="0"/>
        <w:spacing w:line="360" w:lineRule="auto"/>
        <w:ind w:firstLine="560" w:firstLineChars="200"/>
        <w:rPr>
          <w:rFonts w:ascii="宋体" w:cs="仿宋"/>
          <w:sz w:val="28"/>
          <w:szCs w:val="24"/>
        </w:rPr>
      </w:pPr>
      <w:r>
        <w:rPr>
          <w:rFonts w:ascii="宋体" w:hAnsi="宋体" w:cs="仿宋"/>
          <w:sz w:val="28"/>
          <w:szCs w:val="24"/>
        </w:rPr>
        <w:t>1</w:t>
      </w:r>
      <w:r>
        <w:rPr>
          <w:rFonts w:hint="eastAsia" w:ascii="宋体" w:hAnsi="宋体" w:cs="仿宋"/>
          <w:sz w:val="28"/>
          <w:szCs w:val="24"/>
        </w:rPr>
        <w:t>、投标人应将正本和副本密封。</w:t>
      </w:r>
    </w:p>
    <w:p>
      <w:pPr>
        <w:snapToGrid w:val="0"/>
        <w:spacing w:line="360" w:lineRule="auto"/>
        <w:ind w:firstLine="560" w:firstLineChars="200"/>
        <w:rPr>
          <w:rFonts w:ascii="宋体" w:cs="仿宋"/>
          <w:sz w:val="28"/>
          <w:szCs w:val="24"/>
        </w:rPr>
      </w:pPr>
      <w:r>
        <w:rPr>
          <w:rFonts w:ascii="宋体" w:hAnsi="宋体" w:cs="仿宋"/>
          <w:sz w:val="28"/>
          <w:szCs w:val="24"/>
        </w:rPr>
        <w:t>2</w:t>
      </w:r>
      <w:r>
        <w:rPr>
          <w:rFonts w:hint="eastAsia" w:ascii="宋体" w:hAnsi="宋体" w:cs="仿宋"/>
          <w:sz w:val="28"/>
          <w:szCs w:val="24"/>
        </w:rPr>
        <w:t>、</w:t>
      </w:r>
      <w:r>
        <w:rPr>
          <w:rFonts w:hint="eastAsia" w:ascii="宋体" w:hAnsi="宋体" w:cs="仿宋"/>
          <w:b/>
          <w:sz w:val="28"/>
          <w:szCs w:val="24"/>
        </w:rPr>
        <w:t>投标报价表一份须单独密封，不得出现于正本或副本。</w:t>
      </w:r>
    </w:p>
    <w:p>
      <w:pPr>
        <w:snapToGrid w:val="0"/>
        <w:spacing w:line="360" w:lineRule="auto"/>
        <w:ind w:firstLine="560" w:firstLineChars="200"/>
        <w:rPr>
          <w:rFonts w:ascii="宋体" w:cs="仿宋"/>
          <w:sz w:val="28"/>
          <w:szCs w:val="24"/>
        </w:rPr>
      </w:pPr>
      <w:r>
        <w:rPr>
          <w:rFonts w:ascii="宋体" w:hAnsi="宋体" w:cs="仿宋"/>
          <w:sz w:val="28"/>
          <w:szCs w:val="24"/>
        </w:rPr>
        <w:t>3</w:t>
      </w:r>
      <w:r>
        <w:rPr>
          <w:rFonts w:hint="eastAsia" w:ascii="宋体" w:hAnsi="宋体" w:cs="仿宋"/>
          <w:sz w:val="28"/>
          <w:szCs w:val="24"/>
        </w:rPr>
        <w:t>、密封后投标文件和报价表封面标明招标文件项目名称、边缝处加盖单位骑缝章或骑缝签字，并注明于开标前不得启封。</w:t>
      </w:r>
    </w:p>
    <w:p>
      <w:pPr>
        <w:snapToGrid w:val="0"/>
        <w:spacing w:beforeLines="50" w:afterLines="50" w:line="360" w:lineRule="auto"/>
        <w:ind w:firstLine="551" w:firstLineChars="196"/>
        <w:rPr>
          <w:rFonts w:ascii="宋体" w:cs="仿宋"/>
          <w:b/>
          <w:sz w:val="28"/>
          <w:szCs w:val="24"/>
        </w:rPr>
      </w:pPr>
      <w:r>
        <w:rPr>
          <w:rFonts w:hint="eastAsia" w:ascii="宋体" w:hAnsi="宋体" w:cs="仿宋"/>
          <w:b/>
          <w:sz w:val="28"/>
          <w:szCs w:val="24"/>
        </w:rPr>
        <w:t>七、投标文件的递交时间</w:t>
      </w:r>
    </w:p>
    <w:p>
      <w:pPr>
        <w:snapToGrid w:val="0"/>
        <w:spacing w:line="360" w:lineRule="auto"/>
        <w:ind w:firstLine="560" w:firstLineChars="200"/>
        <w:rPr>
          <w:rFonts w:ascii="宋体" w:cs="仿宋"/>
          <w:sz w:val="28"/>
          <w:szCs w:val="24"/>
        </w:rPr>
      </w:pPr>
      <w:r>
        <w:rPr>
          <w:rFonts w:hint="eastAsia" w:ascii="宋体" w:hAnsi="宋体" w:cs="仿宋"/>
          <w:sz w:val="28"/>
          <w:szCs w:val="24"/>
        </w:rPr>
        <w:t>投标人必须在规定的投标文件接收截止时间前送达招标人。招标人将拒绝接收在投标截止时间后递交的投标文件。</w:t>
      </w:r>
    </w:p>
    <w:p>
      <w:pPr>
        <w:snapToGrid w:val="0"/>
        <w:spacing w:beforeLines="50" w:afterLines="50" w:line="360" w:lineRule="auto"/>
        <w:ind w:firstLine="551" w:firstLineChars="196"/>
        <w:rPr>
          <w:rFonts w:ascii="宋体" w:cs="仿宋"/>
          <w:b/>
          <w:sz w:val="28"/>
          <w:szCs w:val="24"/>
        </w:rPr>
      </w:pPr>
      <w:r>
        <w:rPr>
          <w:rFonts w:hint="eastAsia" w:ascii="宋体" w:hAnsi="宋体" w:cs="仿宋"/>
          <w:b/>
          <w:sz w:val="28"/>
          <w:szCs w:val="24"/>
        </w:rPr>
        <w:t>八、投标费用</w:t>
      </w:r>
    </w:p>
    <w:p>
      <w:pPr>
        <w:snapToGrid w:val="0"/>
        <w:spacing w:line="360" w:lineRule="auto"/>
        <w:ind w:firstLine="560" w:firstLineChars="200"/>
        <w:rPr>
          <w:rFonts w:ascii="宋体" w:cs="仿宋"/>
          <w:sz w:val="28"/>
          <w:szCs w:val="24"/>
        </w:rPr>
      </w:pPr>
      <w:r>
        <w:rPr>
          <w:rFonts w:hint="eastAsia" w:ascii="宋体" w:hAnsi="宋体" w:cs="仿宋"/>
          <w:sz w:val="28"/>
          <w:szCs w:val="24"/>
        </w:rPr>
        <w:t>投标人承担参与投标可能发生的全部费用，招标人在任何情况下均无义务和责任承担这些费用。</w:t>
      </w:r>
    </w:p>
    <w:p>
      <w:pPr>
        <w:spacing w:line="480" w:lineRule="exact"/>
        <w:ind w:firstLine="562" w:firstLineChars="200"/>
        <w:rPr>
          <w:rFonts w:ascii="宋体"/>
          <w:b/>
          <w:sz w:val="28"/>
          <w:szCs w:val="28"/>
        </w:rPr>
      </w:pPr>
      <w:r>
        <w:rPr>
          <w:rFonts w:hint="eastAsia" w:ascii="宋体" w:hAnsi="宋体"/>
          <w:b/>
          <w:sz w:val="28"/>
          <w:szCs w:val="28"/>
        </w:rPr>
        <w:t>九、实施期限：</w:t>
      </w:r>
      <w:r>
        <w:rPr>
          <w:rFonts w:hint="eastAsia" w:ascii="宋体" w:hAnsi="宋体"/>
          <w:sz w:val="28"/>
          <w:szCs w:val="28"/>
        </w:rPr>
        <w:t>合同签订完毕一周内启动测评工作，30个工作日内完成等级保护测评并出具盖章报告</w:t>
      </w:r>
      <w:r>
        <w:rPr>
          <w:rFonts w:hint="eastAsia" w:ascii="宋体" w:hAnsi="宋体"/>
          <w:b/>
          <w:sz w:val="28"/>
          <w:szCs w:val="28"/>
        </w:rPr>
        <w:t>。</w:t>
      </w:r>
    </w:p>
    <w:p>
      <w:pPr>
        <w:spacing w:line="480" w:lineRule="exact"/>
        <w:ind w:firstLine="562" w:firstLineChars="200"/>
        <w:rPr>
          <w:rFonts w:ascii="宋体"/>
          <w:sz w:val="28"/>
          <w:szCs w:val="28"/>
        </w:rPr>
      </w:pPr>
      <w:r>
        <w:rPr>
          <w:rFonts w:hint="eastAsia" w:ascii="宋体" w:hAnsi="宋体"/>
          <w:b/>
          <w:sz w:val="28"/>
          <w:szCs w:val="28"/>
        </w:rPr>
        <w:t>十、付款方式：</w:t>
      </w:r>
      <w:r>
        <w:rPr>
          <w:rFonts w:hint="eastAsia" w:ascii="宋体" w:hAnsi="宋体"/>
          <w:sz w:val="28"/>
          <w:szCs w:val="28"/>
        </w:rPr>
        <w:t>测评机构提交测评报告后10个工作日内支付全部款项。</w:t>
      </w:r>
    </w:p>
    <w:p>
      <w:pPr>
        <w:rPr>
          <w:rFonts w:ascii="宋体" w:hAnsi="宋体" w:cs="仿宋"/>
        </w:rPr>
      </w:pPr>
      <w:bookmarkStart w:id="2" w:name="_Toc33457482"/>
      <w:r>
        <w:rPr>
          <w:rFonts w:hint="eastAsia" w:ascii="宋体" w:hAnsi="宋体" w:cs="仿宋"/>
        </w:rPr>
        <w:br w:type="page"/>
      </w:r>
    </w:p>
    <w:p>
      <w:pPr>
        <w:pStyle w:val="3"/>
        <w:spacing w:before="240" w:after="240" w:line="360" w:lineRule="auto"/>
        <w:jc w:val="center"/>
        <w:rPr>
          <w:rFonts w:ascii="宋体" w:cs="仿宋"/>
        </w:rPr>
      </w:pPr>
      <w:r>
        <w:rPr>
          <w:rFonts w:hint="eastAsia" w:ascii="宋体" w:hAnsi="宋体" w:cs="仿宋"/>
        </w:rPr>
        <w:t>第三章采购需求</w:t>
      </w:r>
      <w:bookmarkEnd w:id="2"/>
    </w:p>
    <w:p>
      <w:pPr>
        <w:widowControl/>
        <w:spacing w:line="360" w:lineRule="auto"/>
        <w:ind w:firstLine="562" w:firstLineChars="200"/>
        <w:rPr>
          <w:rFonts w:ascii="宋体" w:cs="楷体_GB2312"/>
          <w:b/>
          <w:bCs/>
          <w:kern w:val="0"/>
          <w:sz w:val="28"/>
          <w:szCs w:val="32"/>
        </w:rPr>
      </w:pPr>
      <w:r>
        <w:rPr>
          <w:rFonts w:hint="eastAsia" w:ascii="宋体" w:hAnsi="宋体" w:cs="楷体_GB2312"/>
          <w:b/>
          <w:bCs/>
          <w:kern w:val="0"/>
          <w:sz w:val="28"/>
          <w:szCs w:val="32"/>
        </w:rPr>
        <w:t>（一）</w:t>
      </w:r>
      <w:bookmarkStart w:id="3" w:name="_Toc514664895"/>
      <w:r>
        <w:rPr>
          <w:rFonts w:hint="eastAsia" w:ascii="宋体" w:hAnsi="宋体" w:cs="楷体_GB2312"/>
          <w:b/>
          <w:bCs/>
          <w:kern w:val="0"/>
          <w:sz w:val="28"/>
          <w:szCs w:val="32"/>
        </w:rPr>
        <w:t>测评对象及要求</w:t>
      </w:r>
    </w:p>
    <w:bookmarkEnd w:id="3"/>
    <w:tbl>
      <w:tblPr>
        <w:tblStyle w:val="1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5709"/>
        <w:gridCol w:w="2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9" w:type="pct"/>
            <w:vAlign w:val="center"/>
          </w:tcPr>
          <w:p>
            <w:pPr>
              <w:spacing w:line="360" w:lineRule="auto"/>
              <w:jc w:val="center"/>
              <w:rPr>
                <w:rFonts w:ascii="宋体"/>
                <w:sz w:val="24"/>
                <w:szCs w:val="28"/>
              </w:rPr>
            </w:pPr>
            <w:r>
              <w:rPr>
                <w:rFonts w:hint="eastAsia" w:ascii="宋体" w:hAnsi="宋体"/>
                <w:sz w:val="24"/>
                <w:szCs w:val="28"/>
              </w:rPr>
              <w:t>序号</w:t>
            </w:r>
          </w:p>
        </w:tc>
        <w:tc>
          <w:tcPr>
            <w:tcW w:w="2984" w:type="pct"/>
            <w:vAlign w:val="center"/>
          </w:tcPr>
          <w:p>
            <w:pPr>
              <w:spacing w:line="360" w:lineRule="auto"/>
              <w:jc w:val="center"/>
              <w:rPr>
                <w:rFonts w:ascii="宋体"/>
                <w:sz w:val="24"/>
                <w:szCs w:val="28"/>
              </w:rPr>
            </w:pPr>
            <w:r>
              <w:rPr>
                <w:rFonts w:hint="eastAsia" w:ascii="宋体" w:hAnsi="宋体"/>
                <w:sz w:val="24"/>
                <w:szCs w:val="28"/>
              </w:rPr>
              <w:t>系统名称</w:t>
            </w:r>
          </w:p>
        </w:tc>
        <w:tc>
          <w:tcPr>
            <w:tcW w:w="1346" w:type="pct"/>
            <w:vAlign w:val="center"/>
          </w:tcPr>
          <w:p>
            <w:pPr>
              <w:spacing w:line="360" w:lineRule="auto"/>
              <w:jc w:val="center"/>
              <w:rPr>
                <w:rFonts w:ascii="宋体"/>
                <w:sz w:val="24"/>
                <w:szCs w:val="28"/>
                <w:highlight w:val="yellow"/>
              </w:rPr>
            </w:pPr>
            <w:r>
              <w:rPr>
                <w:rFonts w:hint="eastAsia" w:ascii="宋体" w:hAnsi="宋体"/>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69" w:type="pct"/>
            <w:vAlign w:val="center"/>
          </w:tcPr>
          <w:p>
            <w:pPr>
              <w:spacing w:line="360" w:lineRule="auto"/>
              <w:jc w:val="center"/>
              <w:rPr>
                <w:rFonts w:ascii="宋体" w:hAnsi="宋体"/>
                <w:sz w:val="24"/>
                <w:szCs w:val="28"/>
              </w:rPr>
            </w:pPr>
            <w:r>
              <w:rPr>
                <w:rFonts w:ascii="宋体" w:hAnsi="宋体"/>
                <w:sz w:val="24"/>
                <w:szCs w:val="28"/>
              </w:rPr>
              <w:t>1</w:t>
            </w:r>
          </w:p>
        </w:tc>
        <w:tc>
          <w:tcPr>
            <w:tcW w:w="2984" w:type="pct"/>
            <w:vAlign w:val="center"/>
          </w:tcPr>
          <w:p>
            <w:pPr>
              <w:spacing w:line="360" w:lineRule="auto"/>
              <w:jc w:val="center"/>
              <w:rPr>
                <w:rFonts w:ascii="宋体"/>
                <w:sz w:val="24"/>
                <w:szCs w:val="28"/>
              </w:rPr>
            </w:pPr>
            <w:r>
              <w:rPr>
                <w:rFonts w:hint="eastAsia" w:ascii="仿宋" w:hAnsi="仿宋" w:eastAsia="仿宋" w:cs="仿宋_GB2312"/>
                <w:bCs/>
                <w:kern w:val="0"/>
                <w:sz w:val="28"/>
                <w:szCs w:val="28"/>
                <w:lang w:val="zh-CN"/>
              </w:rPr>
              <w:t>电子文件综合管理系统</w:t>
            </w:r>
          </w:p>
        </w:tc>
        <w:tc>
          <w:tcPr>
            <w:tcW w:w="1346" w:type="pct"/>
            <w:vAlign w:val="center"/>
          </w:tcPr>
          <w:p>
            <w:pPr>
              <w:spacing w:line="360" w:lineRule="auto"/>
              <w:jc w:val="center"/>
              <w:rPr>
                <w:rFonts w:ascii="宋体"/>
                <w:sz w:val="24"/>
                <w:szCs w:val="28"/>
                <w:highlight w:val="yellow"/>
              </w:rPr>
            </w:pPr>
            <w:r>
              <w:rPr>
                <w:rFonts w:hint="eastAsia" w:ascii="宋体" w:hAnsi="宋体"/>
                <w:sz w:val="24"/>
                <w:szCs w:val="28"/>
              </w:rPr>
              <w:t>等保二级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69" w:type="pct"/>
            <w:vAlign w:val="center"/>
          </w:tcPr>
          <w:p>
            <w:pPr>
              <w:spacing w:line="360" w:lineRule="auto"/>
              <w:jc w:val="center"/>
              <w:rPr>
                <w:rFonts w:ascii="宋体" w:hAnsi="宋体"/>
                <w:sz w:val="24"/>
                <w:szCs w:val="28"/>
              </w:rPr>
            </w:pPr>
            <w:r>
              <w:rPr>
                <w:rFonts w:hint="eastAsia" w:ascii="宋体" w:hAnsi="宋体"/>
                <w:sz w:val="24"/>
                <w:szCs w:val="28"/>
              </w:rPr>
              <w:t>2</w:t>
            </w:r>
          </w:p>
        </w:tc>
        <w:tc>
          <w:tcPr>
            <w:tcW w:w="2984" w:type="pct"/>
            <w:vAlign w:val="center"/>
          </w:tcPr>
          <w:p>
            <w:pPr>
              <w:spacing w:line="360" w:lineRule="auto"/>
              <w:jc w:val="center"/>
              <w:rPr>
                <w:rFonts w:ascii="宋体" w:hAnsi="宋体" w:cs="宋体"/>
                <w:kern w:val="0"/>
                <w:sz w:val="24"/>
                <w:szCs w:val="32"/>
              </w:rPr>
            </w:pPr>
            <w:r>
              <w:rPr>
                <w:rFonts w:hint="eastAsia" w:ascii="仿宋" w:hAnsi="仿宋" w:eastAsia="仿宋" w:cs="仿宋_GB2312"/>
                <w:bCs/>
                <w:kern w:val="0"/>
                <w:sz w:val="28"/>
                <w:szCs w:val="28"/>
                <w:lang w:val="zh-CN"/>
              </w:rPr>
              <w:t>数字档案馆系统</w:t>
            </w:r>
          </w:p>
        </w:tc>
        <w:tc>
          <w:tcPr>
            <w:tcW w:w="1346" w:type="pct"/>
            <w:vAlign w:val="center"/>
          </w:tcPr>
          <w:p>
            <w:pPr>
              <w:spacing w:line="360" w:lineRule="auto"/>
              <w:jc w:val="center"/>
              <w:rPr>
                <w:rFonts w:ascii="宋体" w:hAnsi="宋体"/>
                <w:sz w:val="24"/>
                <w:szCs w:val="28"/>
              </w:rPr>
            </w:pPr>
            <w:r>
              <w:rPr>
                <w:rFonts w:hint="eastAsia" w:ascii="宋体" w:hAnsi="宋体"/>
                <w:sz w:val="24"/>
                <w:szCs w:val="28"/>
              </w:rPr>
              <w:t>等保二级</w:t>
            </w:r>
          </w:p>
        </w:tc>
      </w:tr>
    </w:tbl>
    <w:p>
      <w:pPr>
        <w:widowControl/>
        <w:spacing w:line="360" w:lineRule="auto"/>
        <w:ind w:firstLine="562" w:firstLineChars="200"/>
        <w:rPr>
          <w:rFonts w:ascii="宋体" w:cs="宋体"/>
          <w:b/>
          <w:bCs/>
          <w:kern w:val="0"/>
          <w:sz w:val="28"/>
          <w:szCs w:val="32"/>
        </w:rPr>
      </w:pPr>
      <w:r>
        <w:rPr>
          <w:rFonts w:hint="eastAsia" w:ascii="宋体" w:hAnsi="宋体"/>
          <w:b/>
          <w:sz w:val="28"/>
        </w:rPr>
        <w:t>（二</w:t>
      </w:r>
      <w:r>
        <w:rPr>
          <w:rFonts w:ascii="宋体" w:hAnsi="宋体"/>
          <w:b/>
          <w:sz w:val="28"/>
        </w:rPr>
        <w:t xml:space="preserve">) </w:t>
      </w:r>
      <w:r>
        <w:rPr>
          <w:rFonts w:hint="eastAsia" w:ascii="宋体" w:hAnsi="宋体" w:cs="宋体"/>
          <w:b/>
          <w:bCs/>
          <w:kern w:val="0"/>
          <w:sz w:val="28"/>
          <w:szCs w:val="32"/>
        </w:rPr>
        <w:t>网络安全等级保护测评</w:t>
      </w:r>
    </w:p>
    <w:p>
      <w:pPr>
        <w:spacing w:beforeLines="50" w:afterLines="50" w:line="360" w:lineRule="auto"/>
        <w:ind w:firstLine="562" w:firstLineChars="200"/>
        <w:rPr>
          <w:rFonts w:ascii="宋体" w:cs="仿宋"/>
          <w:b/>
          <w:bCs/>
          <w:sz w:val="28"/>
          <w:szCs w:val="24"/>
        </w:rPr>
      </w:pPr>
      <w:r>
        <w:rPr>
          <w:rFonts w:ascii="宋体" w:hAnsi="宋体" w:cs="仿宋"/>
          <w:b/>
          <w:bCs/>
          <w:sz w:val="28"/>
          <w:szCs w:val="24"/>
        </w:rPr>
        <w:t>1</w:t>
      </w:r>
      <w:r>
        <w:rPr>
          <w:rFonts w:hint="eastAsia" w:ascii="宋体" w:hAnsi="宋体" w:cs="仿宋"/>
          <w:b/>
          <w:bCs/>
          <w:sz w:val="28"/>
          <w:szCs w:val="24"/>
        </w:rPr>
        <w:t>）测评单位要求</w:t>
      </w:r>
    </w:p>
    <w:p>
      <w:pPr>
        <w:spacing w:line="360" w:lineRule="auto"/>
        <w:ind w:firstLine="560" w:firstLineChars="200"/>
        <w:rPr>
          <w:rFonts w:ascii="宋体" w:cs="仿宋"/>
          <w:sz w:val="28"/>
          <w:szCs w:val="24"/>
        </w:rPr>
      </w:pPr>
      <w:r>
        <w:rPr>
          <w:rFonts w:ascii="宋体" w:hAnsi="宋体" w:cs="仿宋"/>
          <w:sz w:val="28"/>
          <w:szCs w:val="24"/>
        </w:rPr>
        <w:t>1</w:t>
      </w:r>
      <w:r>
        <w:rPr>
          <w:rFonts w:hint="eastAsia" w:ascii="宋体" w:hAnsi="宋体" w:cs="仿宋"/>
          <w:sz w:val="28"/>
          <w:szCs w:val="24"/>
        </w:rPr>
        <w:t>、投标人具备有效期的公安部门网络安全等级保护评估中心颁发的《网络安全等级保护测评机构推荐证书》，提供证书复印件（加盖公章）；</w:t>
      </w:r>
    </w:p>
    <w:p>
      <w:pPr>
        <w:spacing w:beforeLines="50" w:afterLines="50" w:line="360" w:lineRule="auto"/>
        <w:ind w:firstLine="562" w:firstLineChars="200"/>
        <w:rPr>
          <w:rFonts w:ascii="宋体" w:cs="仿宋"/>
          <w:b/>
          <w:bCs/>
          <w:sz w:val="28"/>
          <w:szCs w:val="24"/>
        </w:rPr>
      </w:pPr>
      <w:r>
        <w:rPr>
          <w:rFonts w:ascii="宋体" w:hAnsi="宋体" w:cs="仿宋"/>
          <w:b/>
          <w:bCs/>
          <w:sz w:val="28"/>
          <w:szCs w:val="24"/>
        </w:rPr>
        <w:t>2</w:t>
      </w:r>
      <w:r>
        <w:rPr>
          <w:rFonts w:hint="eastAsia" w:ascii="宋体" w:hAnsi="宋体" w:cs="仿宋"/>
          <w:b/>
          <w:bCs/>
          <w:sz w:val="28"/>
          <w:szCs w:val="24"/>
        </w:rPr>
        <w:t>）测评内容</w:t>
      </w:r>
    </w:p>
    <w:p>
      <w:pPr>
        <w:spacing w:line="360" w:lineRule="auto"/>
        <w:ind w:firstLine="560" w:firstLineChars="200"/>
        <w:rPr>
          <w:rFonts w:ascii="宋体" w:cs="仿宋"/>
          <w:sz w:val="28"/>
          <w:szCs w:val="24"/>
        </w:rPr>
      </w:pPr>
      <w:r>
        <w:rPr>
          <w:rFonts w:ascii="宋体" w:hAnsi="宋体" w:cs="仿宋"/>
          <w:sz w:val="28"/>
          <w:szCs w:val="24"/>
        </w:rPr>
        <w:t>1</w:t>
      </w:r>
      <w:r>
        <w:rPr>
          <w:rFonts w:hint="eastAsia" w:ascii="宋体" w:hAnsi="宋体" w:cs="仿宋"/>
          <w:sz w:val="28"/>
          <w:szCs w:val="24"/>
        </w:rPr>
        <w:t>、总体要求：</w:t>
      </w:r>
    </w:p>
    <w:p>
      <w:pPr>
        <w:spacing w:line="360" w:lineRule="auto"/>
        <w:ind w:firstLine="560" w:firstLineChars="200"/>
        <w:rPr>
          <w:rFonts w:ascii="宋体" w:cs="仿宋"/>
          <w:sz w:val="28"/>
          <w:szCs w:val="24"/>
        </w:rPr>
      </w:pPr>
      <w:r>
        <w:rPr>
          <w:rFonts w:ascii="宋体" w:hAnsi="宋体" w:cs="仿宋"/>
          <w:sz w:val="28"/>
          <w:szCs w:val="24"/>
        </w:rPr>
        <w:t>A</w:t>
      </w:r>
      <w:r>
        <w:rPr>
          <w:rFonts w:hint="eastAsia" w:ascii="宋体" w:hAnsi="宋体" w:cs="仿宋"/>
          <w:sz w:val="28"/>
          <w:szCs w:val="24"/>
        </w:rPr>
        <w:t>．依据被测评对象的真实情况，完成网络安全等级测评工作，出具符合等级测评要求的测评报告；</w:t>
      </w:r>
    </w:p>
    <w:p>
      <w:pPr>
        <w:spacing w:line="360" w:lineRule="auto"/>
        <w:ind w:firstLine="560" w:firstLineChars="200"/>
        <w:rPr>
          <w:rFonts w:ascii="宋体" w:cs="仿宋"/>
          <w:sz w:val="28"/>
          <w:szCs w:val="24"/>
        </w:rPr>
      </w:pPr>
      <w:r>
        <w:rPr>
          <w:rFonts w:ascii="宋体" w:hAnsi="宋体" w:cs="仿宋"/>
          <w:sz w:val="28"/>
          <w:szCs w:val="24"/>
        </w:rPr>
        <w:t>B</w:t>
      </w:r>
      <w:r>
        <w:rPr>
          <w:rFonts w:hint="eastAsia" w:ascii="宋体" w:hAnsi="宋体" w:cs="仿宋"/>
          <w:sz w:val="28"/>
          <w:szCs w:val="24"/>
        </w:rPr>
        <w:t>．对上述信息系统不符合网络安全等级保护有关管理规范和技术标准的，提出可行性整改方案，提供相应的安全整改建议书。</w:t>
      </w:r>
    </w:p>
    <w:p>
      <w:pPr>
        <w:spacing w:line="360" w:lineRule="auto"/>
        <w:ind w:firstLine="560" w:firstLineChars="200"/>
        <w:rPr>
          <w:rFonts w:ascii="宋体" w:cs="仿宋"/>
          <w:sz w:val="28"/>
          <w:szCs w:val="24"/>
        </w:rPr>
      </w:pPr>
      <w:r>
        <w:rPr>
          <w:rFonts w:ascii="宋体" w:hAnsi="宋体" w:cs="仿宋"/>
          <w:sz w:val="28"/>
          <w:szCs w:val="24"/>
        </w:rPr>
        <w:t>2</w:t>
      </w:r>
      <w:r>
        <w:rPr>
          <w:rFonts w:hint="eastAsia" w:ascii="宋体" w:hAnsi="宋体" w:cs="仿宋"/>
          <w:sz w:val="28"/>
          <w:szCs w:val="24"/>
        </w:rPr>
        <w:t>、质量要求：</w:t>
      </w:r>
    </w:p>
    <w:p>
      <w:pPr>
        <w:spacing w:line="360" w:lineRule="auto"/>
        <w:ind w:firstLine="560" w:firstLineChars="200"/>
        <w:rPr>
          <w:rFonts w:ascii="宋体" w:cs="仿宋"/>
          <w:sz w:val="28"/>
          <w:szCs w:val="24"/>
        </w:rPr>
      </w:pPr>
      <w:r>
        <w:rPr>
          <w:rFonts w:ascii="宋体" w:hAnsi="宋体" w:cs="仿宋"/>
          <w:sz w:val="28"/>
          <w:szCs w:val="24"/>
        </w:rPr>
        <w:t>A</w:t>
      </w:r>
      <w:r>
        <w:rPr>
          <w:rFonts w:hint="eastAsia" w:ascii="宋体" w:hAnsi="宋体" w:cs="仿宋"/>
          <w:sz w:val="28"/>
          <w:szCs w:val="24"/>
        </w:rPr>
        <w:t>．等级测评及服务原则：符合性原则、标准性原则、规范性原则、可控性原则、整体性原则。</w:t>
      </w:r>
    </w:p>
    <w:p>
      <w:pPr>
        <w:spacing w:line="360" w:lineRule="auto"/>
        <w:ind w:firstLine="560" w:firstLineChars="200"/>
        <w:rPr>
          <w:rFonts w:ascii="宋体" w:cs="仿宋"/>
          <w:sz w:val="28"/>
          <w:szCs w:val="24"/>
        </w:rPr>
      </w:pPr>
      <w:r>
        <w:rPr>
          <w:rFonts w:ascii="宋体" w:hAnsi="宋体" w:cs="仿宋"/>
          <w:sz w:val="28"/>
          <w:szCs w:val="24"/>
        </w:rPr>
        <w:t>B</w:t>
      </w:r>
      <w:r>
        <w:rPr>
          <w:rFonts w:hint="eastAsia" w:ascii="宋体" w:hAnsi="宋体" w:cs="仿宋"/>
          <w:sz w:val="28"/>
          <w:szCs w:val="24"/>
        </w:rPr>
        <w:t>．信息系统安全等级保护定级及测评服务依据：</w:t>
      </w:r>
    </w:p>
    <w:p>
      <w:pPr>
        <w:spacing w:line="360" w:lineRule="auto"/>
        <w:ind w:firstLine="560" w:firstLineChars="200"/>
        <w:rPr>
          <w:rFonts w:ascii="宋体" w:cs="仿宋"/>
          <w:sz w:val="28"/>
          <w:szCs w:val="24"/>
        </w:rPr>
      </w:pPr>
      <w:r>
        <w:rPr>
          <w:rFonts w:ascii="宋体" w:hAnsi="宋体" w:cs="仿宋"/>
          <w:sz w:val="28"/>
          <w:szCs w:val="24"/>
        </w:rPr>
        <w:t>GB/T 22239-2019</w:t>
      </w:r>
      <w:r>
        <w:rPr>
          <w:rFonts w:hint="eastAsia" w:ascii="宋体" w:hAnsi="宋体" w:cs="仿宋"/>
          <w:sz w:val="28"/>
          <w:szCs w:val="24"/>
        </w:rPr>
        <w:t>：《信息安全技术网络安全等级保护基本要求》</w:t>
      </w:r>
    </w:p>
    <w:p>
      <w:pPr>
        <w:spacing w:line="360" w:lineRule="auto"/>
        <w:ind w:firstLine="560" w:firstLineChars="200"/>
        <w:rPr>
          <w:rFonts w:ascii="宋体" w:cs="仿宋"/>
          <w:sz w:val="28"/>
          <w:szCs w:val="24"/>
        </w:rPr>
      </w:pPr>
      <w:r>
        <w:rPr>
          <w:rFonts w:ascii="宋体" w:hAnsi="宋体" w:cs="仿宋"/>
          <w:sz w:val="28"/>
          <w:szCs w:val="24"/>
        </w:rPr>
        <w:t>GB/T 28448-2019</w:t>
      </w:r>
      <w:r>
        <w:rPr>
          <w:rFonts w:hint="eastAsia" w:ascii="宋体" w:hAnsi="宋体" w:cs="仿宋"/>
          <w:sz w:val="28"/>
          <w:szCs w:val="24"/>
        </w:rPr>
        <w:t>：《信息安全技术网络安全等级保护测评要求》</w:t>
      </w:r>
    </w:p>
    <w:p>
      <w:pPr>
        <w:spacing w:line="360" w:lineRule="auto"/>
        <w:ind w:firstLine="560" w:firstLineChars="200"/>
        <w:rPr>
          <w:rFonts w:ascii="宋体" w:cs="仿宋"/>
          <w:sz w:val="28"/>
          <w:szCs w:val="24"/>
        </w:rPr>
      </w:pPr>
      <w:r>
        <w:rPr>
          <w:rFonts w:ascii="宋体" w:hAnsi="宋体" w:cs="仿宋"/>
          <w:sz w:val="28"/>
          <w:szCs w:val="24"/>
        </w:rPr>
        <w:t>GB/T 28449-2018</w:t>
      </w:r>
      <w:r>
        <w:rPr>
          <w:rFonts w:hint="eastAsia" w:ascii="宋体" w:hAnsi="宋体" w:cs="仿宋"/>
          <w:sz w:val="28"/>
          <w:szCs w:val="24"/>
        </w:rPr>
        <w:t>：《信息安全技术网络安全等级保护测评过程指南》</w:t>
      </w:r>
    </w:p>
    <w:p>
      <w:pPr>
        <w:spacing w:line="360" w:lineRule="auto"/>
        <w:ind w:firstLine="560" w:firstLineChars="200"/>
        <w:rPr>
          <w:rFonts w:ascii="宋体" w:cs="仿宋"/>
          <w:sz w:val="28"/>
          <w:szCs w:val="24"/>
        </w:rPr>
      </w:pPr>
      <w:r>
        <w:rPr>
          <w:rFonts w:ascii="宋体" w:hAnsi="宋体" w:cs="仿宋"/>
          <w:sz w:val="28"/>
          <w:szCs w:val="24"/>
        </w:rPr>
        <w:t>3</w:t>
      </w:r>
      <w:r>
        <w:rPr>
          <w:rFonts w:hint="eastAsia" w:ascii="宋体" w:hAnsi="宋体" w:cs="仿宋"/>
          <w:sz w:val="28"/>
          <w:szCs w:val="24"/>
        </w:rPr>
        <w:t>、信息安全等级测评内容：</w:t>
      </w:r>
    </w:p>
    <w:p>
      <w:pPr>
        <w:spacing w:line="360" w:lineRule="auto"/>
        <w:ind w:firstLine="560" w:firstLineChars="200"/>
        <w:rPr>
          <w:rFonts w:ascii="宋体" w:cs="仿宋"/>
          <w:sz w:val="28"/>
          <w:szCs w:val="24"/>
        </w:rPr>
      </w:pPr>
      <w:r>
        <w:rPr>
          <w:rFonts w:ascii="宋体" w:hAnsi="宋体" w:cs="仿宋"/>
          <w:sz w:val="28"/>
          <w:szCs w:val="24"/>
        </w:rPr>
        <w:t>A</w:t>
      </w:r>
      <w:r>
        <w:rPr>
          <w:rFonts w:hint="eastAsia" w:ascii="宋体" w:hAnsi="宋体" w:cs="仿宋"/>
          <w:sz w:val="28"/>
          <w:szCs w:val="24"/>
        </w:rPr>
        <w:t>．安全技术测评：包括物理安全、网络安全、主机系统安全、应用安全和数据安全等五个方面的安全测评；</w:t>
      </w:r>
    </w:p>
    <w:p>
      <w:pPr>
        <w:spacing w:line="360" w:lineRule="auto"/>
        <w:ind w:firstLine="560" w:firstLineChars="200"/>
        <w:rPr>
          <w:rFonts w:ascii="宋体" w:cs="仿宋"/>
          <w:sz w:val="28"/>
          <w:szCs w:val="24"/>
        </w:rPr>
      </w:pPr>
      <w:r>
        <w:rPr>
          <w:rFonts w:ascii="宋体" w:hAnsi="宋体" w:cs="仿宋"/>
          <w:sz w:val="28"/>
          <w:szCs w:val="24"/>
        </w:rPr>
        <w:t>B</w:t>
      </w:r>
      <w:r>
        <w:rPr>
          <w:rFonts w:hint="eastAsia" w:ascii="宋体" w:hAnsi="宋体" w:cs="仿宋"/>
          <w:sz w:val="28"/>
          <w:szCs w:val="24"/>
        </w:rPr>
        <w:t>．安全管理测评：安全管理机构、安全管理制度、人员安全管理、系统建设管理和系统运维管理等五个方面的安全控制测评</w:t>
      </w:r>
    </w:p>
    <w:p>
      <w:pPr>
        <w:spacing w:line="360" w:lineRule="auto"/>
        <w:ind w:firstLine="560" w:firstLineChars="200"/>
        <w:rPr>
          <w:rFonts w:ascii="宋体" w:cs="仿宋"/>
          <w:sz w:val="28"/>
          <w:szCs w:val="24"/>
        </w:rPr>
      </w:pPr>
      <w:r>
        <w:rPr>
          <w:rFonts w:ascii="宋体" w:hAnsi="宋体" w:cs="仿宋"/>
          <w:sz w:val="28"/>
          <w:szCs w:val="24"/>
        </w:rPr>
        <w:t>4</w:t>
      </w:r>
      <w:r>
        <w:rPr>
          <w:rFonts w:hint="eastAsia" w:ascii="宋体" w:hAnsi="宋体" w:cs="仿宋"/>
          <w:sz w:val="28"/>
          <w:szCs w:val="24"/>
        </w:rPr>
        <w:t>、提供整改咨询服务，根据所测系统的最终测评报告，对系统现状提出安全整改建议并协助整改工作，以期达到整改目的。</w:t>
      </w:r>
    </w:p>
    <w:p>
      <w:pPr>
        <w:spacing w:beforeLines="50" w:afterLines="50" w:line="360" w:lineRule="auto"/>
        <w:ind w:firstLine="562" w:firstLineChars="200"/>
        <w:rPr>
          <w:rFonts w:ascii="宋体" w:cs="仿宋"/>
          <w:b/>
          <w:bCs/>
          <w:sz w:val="28"/>
          <w:szCs w:val="24"/>
        </w:rPr>
      </w:pPr>
      <w:r>
        <w:rPr>
          <w:rFonts w:ascii="宋体" w:hAnsi="宋体" w:cs="仿宋"/>
          <w:b/>
          <w:bCs/>
          <w:sz w:val="28"/>
          <w:szCs w:val="24"/>
        </w:rPr>
        <w:t>3</w:t>
      </w:r>
      <w:r>
        <w:rPr>
          <w:rFonts w:hint="eastAsia" w:ascii="宋体" w:hAnsi="宋体" w:cs="仿宋"/>
          <w:b/>
          <w:bCs/>
          <w:sz w:val="28"/>
          <w:szCs w:val="24"/>
        </w:rPr>
        <w:t>）测评原则：</w:t>
      </w:r>
    </w:p>
    <w:p>
      <w:pPr>
        <w:spacing w:line="360" w:lineRule="auto"/>
        <w:ind w:firstLine="560" w:firstLineChars="200"/>
        <w:rPr>
          <w:rFonts w:ascii="宋体" w:cs="仿宋"/>
          <w:sz w:val="28"/>
          <w:szCs w:val="24"/>
        </w:rPr>
      </w:pPr>
      <w:r>
        <w:rPr>
          <w:rFonts w:ascii="宋体" w:hAnsi="宋体" w:cs="仿宋"/>
          <w:sz w:val="28"/>
          <w:szCs w:val="24"/>
        </w:rPr>
        <w:t>1</w:t>
      </w:r>
      <w:r>
        <w:rPr>
          <w:rFonts w:hint="eastAsia" w:ascii="宋体" w:hAnsi="宋体" w:cs="仿宋"/>
          <w:sz w:val="28"/>
          <w:szCs w:val="24"/>
        </w:rPr>
        <w:t>、客观性和公正性原则：</w:t>
      </w:r>
    </w:p>
    <w:p>
      <w:pPr>
        <w:spacing w:line="360" w:lineRule="auto"/>
        <w:ind w:firstLine="560" w:firstLineChars="200"/>
        <w:rPr>
          <w:rFonts w:ascii="宋体" w:cs="仿宋"/>
          <w:sz w:val="28"/>
          <w:szCs w:val="24"/>
        </w:rPr>
      </w:pPr>
      <w:r>
        <w:rPr>
          <w:rFonts w:hint="eastAsia" w:ascii="宋体" w:hAnsi="宋体" w:cs="仿宋"/>
          <w:sz w:val="28"/>
          <w:szCs w:val="24"/>
        </w:rPr>
        <w:t>测评人员应当没有偏见，在最小主观判断情形下，按照评估双方相互认可的评估方案，基于明确定义的测评方式和解释，实施评估活动。</w:t>
      </w:r>
    </w:p>
    <w:p>
      <w:pPr>
        <w:spacing w:line="360" w:lineRule="auto"/>
        <w:ind w:firstLine="560" w:firstLineChars="200"/>
        <w:rPr>
          <w:rFonts w:ascii="宋体" w:cs="仿宋"/>
          <w:sz w:val="28"/>
          <w:szCs w:val="24"/>
        </w:rPr>
      </w:pPr>
      <w:r>
        <w:rPr>
          <w:rFonts w:ascii="宋体" w:hAnsi="宋体" w:cs="仿宋"/>
          <w:sz w:val="28"/>
          <w:szCs w:val="24"/>
        </w:rPr>
        <w:t>2</w:t>
      </w:r>
      <w:r>
        <w:rPr>
          <w:rFonts w:hint="eastAsia" w:ascii="宋体" w:hAnsi="宋体" w:cs="仿宋"/>
          <w:sz w:val="28"/>
          <w:szCs w:val="24"/>
        </w:rPr>
        <w:t>、可重复性和可再现性原则：</w:t>
      </w:r>
    </w:p>
    <w:p>
      <w:pPr>
        <w:spacing w:line="360" w:lineRule="auto"/>
        <w:ind w:firstLine="560" w:firstLineChars="200"/>
        <w:rPr>
          <w:rFonts w:ascii="宋体" w:cs="仿宋"/>
          <w:sz w:val="28"/>
          <w:szCs w:val="24"/>
        </w:rPr>
      </w:pPr>
      <w:r>
        <w:rPr>
          <w:rFonts w:hint="eastAsia" w:ascii="宋体" w:hAnsi="宋体" w:cs="仿宋"/>
          <w:sz w:val="28"/>
          <w:szCs w:val="24"/>
        </w:rPr>
        <w:t>依照同样的要求，使用同样的评估方式，对每个评估实施过程的重复执行应该得到同样的结果。可再现性和可重复性的区别在于，前者与不同评估者评估结果的一致性有关，后者与同一评估者评估结果的一致性有关。</w:t>
      </w:r>
    </w:p>
    <w:p>
      <w:pPr>
        <w:spacing w:line="360" w:lineRule="auto"/>
        <w:ind w:firstLine="560" w:firstLineChars="200"/>
        <w:rPr>
          <w:rFonts w:ascii="宋体" w:cs="仿宋"/>
          <w:sz w:val="28"/>
          <w:szCs w:val="24"/>
        </w:rPr>
      </w:pPr>
      <w:r>
        <w:rPr>
          <w:rFonts w:ascii="宋体" w:hAnsi="宋体" w:cs="仿宋"/>
          <w:sz w:val="28"/>
          <w:szCs w:val="24"/>
        </w:rPr>
        <w:t>3</w:t>
      </w:r>
      <w:r>
        <w:rPr>
          <w:rFonts w:hint="eastAsia" w:ascii="宋体" w:hAnsi="宋体" w:cs="仿宋"/>
          <w:sz w:val="28"/>
          <w:szCs w:val="24"/>
        </w:rPr>
        <w:t>、连续性原则：</w:t>
      </w:r>
    </w:p>
    <w:p>
      <w:pPr>
        <w:spacing w:line="360" w:lineRule="auto"/>
        <w:ind w:firstLine="560" w:firstLineChars="200"/>
        <w:rPr>
          <w:rFonts w:ascii="宋体" w:cs="仿宋"/>
          <w:sz w:val="28"/>
          <w:szCs w:val="24"/>
        </w:rPr>
      </w:pPr>
      <w:r>
        <w:rPr>
          <w:rFonts w:hint="eastAsia" w:ascii="宋体" w:hAnsi="宋体" w:cs="仿宋"/>
          <w:sz w:val="28"/>
          <w:szCs w:val="24"/>
        </w:rPr>
        <w:t>确保在高速变化的信息安全环境中，在有效的服务期间内，保证采购方风险评估结论的准确性和及时性，对于采购方单位新增设的信息资产和服务，或新建立的信息化项目，进行局部系统的重新评估。从经济上，降低了采购方单位的成本，从信息安全性上，保证信息安全测评的动态稳定性。</w:t>
      </w:r>
    </w:p>
    <w:p>
      <w:pPr>
        <w:spacing w:line="360" w:lineRule="auto"/>
        <w:ind w:firstLine="560" w:firstLineChars="200"/>
        <w:rPr>
          <w:rFonts w:ascii="宋体" w:cs="仿宋"/>
          <w:sz w:val="28"/>
          <w:szCs w:val="24"/>
        </w:rPr>
      </w:pPr>
      <w:r>
        <w:rPr>
          <w:rFonts w:ascii="宋体" w:hAnsi="宋体" w:cs="仿宋"/>
          <w:sz w:val="28"/>
          <w:szCs w:val="24"/>
        </w:rPr>
        <w:t>4</w:t>
      </w:r>
      <w:r>
        <w:rPr>
          <w:rFonts w:hint="eastAsia" w:ascii="宋体" w:hAnsi="宋体" w:cs="仿宋"/>
          <w:sz w:val="28"/>
          <w:szCs w:val="24"/>
        </w:rPr>
        <w:t>、扩展性原则：</w:t>
      </w:r>
    </w:p>
    <w:p>
      <w:pPr>
        <w:spacing w:line="360" w:lineRule="auto"/>
        <w:ind w:firstLine="560" w:firstLineChars="200"/>
        <w:rPr>
          <w:rFonts w:ascii="宋体" w:cs="仿宋"/>
          <w:sz w:val="28"/>
          <w:szCs w:val="24"/>
        </w:rPr>
      </w:pPr>
      <w:r>
        <w:rPr>
          <w:rFonts w:hint="eastAsia" w:ascii="宋体" w:hAnsi="宋体" w:cs="仿宋"/>
          <w:sz w:val="28"/>
          <w:szCs w:val="24"/>
        </w:rPr>
        <w:t>在评估过程结束后，信息安全测评过程要保持扩展性，从扩展的属性上进一步加强测评结束后采购方的安全管理有效性和可用性。</w:t>
      </w:r>
    </w:p>
    <w:p>
      <w:pPr>
        <w:spacing w:line="360" w:lineRule="auto"/>
        <w:ind w:firstLine="560" w:firstLineChars="200"/>
        <w:rPr>
          <w:rFonts w:ascii="宋体" w:cs="仿宋"/>
          <w:sz w:val="28"/>
          <w:szCs w:val="24"/>
        </w:rPr>
      </w:pPr>
      <w:r>
        <w:rPr>
          <w:rFonts w:ascii="宋体" w:hAnsi="宋体" w:cs="仿宋"/>
          <w:sz w:val="28"/>
          <w:szCs w:val="24"/>
        </w:rPr>
        <w:t>5</w:t>
      </w:r>
      <w:r>
        <w:rPr>
          <w:rFonts w:hint="eastAsia" w:ascii="宋体" w:hAnsi="宋体" w:cs="仿宋"/>
          <w:sz w:val="28"/>
          <w:szCs w:val="24"/>
        </w:rPr>
        <w:t>、保密原则：</w:t>
      </w:r>
    </w:p>
    <w:p>
      <w:pPr>
        <w:spacing w:line="360" w:lineRule="auto"/>
        <w:ind w:firstLine="560" w:firstLineChars="200"/>
        <w:rPr>
          <w:rFonts w:ascii="宋体" w:cs="仿宋"/>
          <w:sz w:val="28"/>
          <w:szCs w:val="24"/>
        </w:rPr>
      </w:pPr>
      <w:r>
        <w:rPr>
          <w:rFonts w:hint="eastAsia" w:ascii="宋体" w:hAnsi="宋体" w:cs="仿宋"/>
          <w:sz w:val="28"/>
          <w:szCs w:val="24"/>
        </w:rPr>
        <w:t>在测评过程中，需严格遵循保密原则，双方签订保密协议，对服务过程中涉及到的任何用户信息未经允许不向其他任何第三方泄漏，以及不得利用这些信息损害采购方利益。</w:t>
      </w:r>
    </w:p>
    <w:p>
      <w:pPr>
        <w:spacing w:line="360" w:lineRule="auto"/>
        <w:ind w:firstLine="560" w:firstLineChars="200"/>
        <w:rPr>
          <w:rFonts w:ascii="宋体" w:cs="仿宋"/>
          <w:sz w:val="28"/>
          <w:szCs w:val="24"/>
        </w:rPr>
      </w:pPr>
      <w:r>
        <w:rPr>
          <w:rFonts w:ascii="宋体" w:hAnsi="宋体" w:cs="仿宋"/>
          <w:sz w:val="28"/>
          <w:szCs w:val="24"/>
        </w:rPr>
        <w:t>6</w:t>
      </w:r>
      <w:r>
        <w:rPr>
          <w:rFonts w:hint="eastAsia" w:ascii="宋体" w:hAnsi="宋体" w:cs="仿宋"/>
          <w:sz w:val="28"/>
          <w:szCs w:val="24"/>
        </w:rPr>
        <w:t>、互动原则：</w:t>
      </w:r>
    </w:p>
    <w:p>
      <w:pPr>
        <w:spacing w:line="360" w:lineRule="auto"/>
        <w:ind w:firstLine="560" w:firstLineChars="200"/>
        <w:rPr>
          <w:rFonts w:ascii="宋体" w:cs="仿宋"/>
          <w:sz w:val="28"/>
          <w:szCs w:val="24"/>
        </w:rPr>
      </w:pPr>
      <w:r>
        <w:rPr>
          <w:rFonts w:hint="eastAsia" w:ascii="宋体" w:hAnsi="宋体" w:cs="仿宋"/>
          <w:sz w:val="28"/>
          <w:szCs w:val="24"/>
        </w:rPr>
        <w:t>在整个测评过程中，强调采购方的互动参与，每个阶段都能够及时根据采购方的要求和实际情况对测评的内容、方式做出相关调整，进而更好的进行风险评估工作。</w:t>
      </w:r>
    </w:p>
    <w:p>
      <w:pPr>
        <w:spacing w:line="360" w:lineRule="auto"/>
        <w:ind w:firstLine="560" w:firstLineChars="200"/>
        <w:rPr>
          <w:rFonts w:ascii="宋体" w:cs="仿宋"/>
          <w:sz w:val="28"/>
          <w:szCs w:val="24"/>
        </w:rPr>
      </w:pPr>
      <w:r>
        <w:rPr>
          <w:rFonts w:ascii="宋体" w:hAnsi="宋体" w:cs="仿宋"/>
          <w:sz w:val="28"/>
          <w:szCs w:val="24"/>
        </w:rPr>
        <w:t>7</w:t>
      </w:r>
      <w:r>
        <w:rPr>
          <w:rFonts w:hint="eastAsia" w:ascii="宋体" w:hAnsi="宋体" w:cs="仿宋"/>
          <w:sz w:val="28"/>
          <w:szCs w:val="24"/>
        </w:rPr>
        <w:t>、最小影响原则：</w:t>
      </w:r>
    </w:p>
    <w:p>
      <w:pPr>
        <w:spacing w:line="360" w:lineRule="auto"/>
        <w:ind w:firstLine="560" w:firstLineChars="200"/>
        <w:rPr>
          <w:rFonts w:ascii="宋体" w:cs="仿宋"/>
          <w:sz w:val="28"/>
          <w:szCs w:val="24"/>
        </w:rPr>
      </w:pPr>
      <w:r>
        <w:rPr>
          <w:rFonts w:hint="eastAsia" w:ascii="宋体" w:hAnsi="宋体" w:cs="仿宋"/>
          <w:sz w:val="28"/>
          <w:szCs w:val="24"/>
        </w:rPr>
        <w:t>测评工作应该尽可能小地影响系统和网络的正常运行，不能对业务的正常运行产生明显的影响（包括系统性能明显下降、网络阻塞、服务中断等），如无法避免，则应做出说明。</w:t>
      </w:r>
    </w:p>
    <w:p>
      <w:pPr>
        <w:spacing w:line="360" w:lineRule="auto"/>
        <w:ind w:firstLine="560" w:firstLineChars="200"/>
        <w:rPr>
          <w:rFonts w:ascii="宋体" w:cs="仿宋"/>
          <w:sz w:val="28"/>
          <w:szCs w:val="24"/>
        </w:rPr>
      </w:pPr>
      <w:r>
        <w:rPr>
          <w:rFonts w:ascii="宋体" w:hAnsi="宋体" w:cs="仿宋"/>
          <w:sz w:val="28"/>
          <w:szCs w:val="24"/>
        </w:rPr>
        <w:t>8</w:t>
      </w:r>
      <w:r>
        <w:rPr>
          <w:rFonts w:hint="eastAsia" w:ascii="宋体" w:hAnsi="宋体" w:cs="仿宋"/>
          <w:sz w:val="28"/>
          <w:szCs w:val="24"/>
        </w:rPr>
        <w:t>、规范性原则：</w:t>
      </w:r>
    </w:p>
    <w:p>
      <w:pPr>
        <w:spacing w:line="360" w:lineRule="auto"/>
        <w:ind w:firstLine="560" w:firstLineChars="200"/>
        <w:rPr>
          <w:rFonts w:ascii="宋体" w:cs="仿宋"/>
          <w:sz w:val="28"/>
          <w:szCs w:val="24"/>
        </w:rPr>
      </w:pPr>
      <w:r>
        <w:rPr>
          <w:rFonts w:hint="eastAsia" w:ascii="宋体" w:hAnsi="宋体" w:cs="仿宋"/>
          <w:sz w:val="28"/>
          <w:szCs w:val="24"/>
        </w:rPr>
        <w:t>信息安全等级保护测评服务的实施必须由专业的测评服务人员依照规范的操作流程进行，对操作过程和结果要有相应的记录，并提供完整的服务报告。</w:t>
      </w:r>
    </w:p>
    <w:p>
      <w:pPr>
        <w:spacing w:line="360" w:lineRule="auto"/>
        <w:ind w:firstLine="560" w:firstLineChars="200"/>
        <w:rPr>
          <w:rFonts w:ascii="宋体" w:cs="仿宋"/>
          <w:sz w:val="28"/>
          <w:szCs w:val="24"/>
        </w:rPr>
      </w:pPr>
      <w:r>
        <w:rPr>
          <w:rFonts w:ascii="宋体" w:hAnsi="宋体" w:cs="仿宋"/>
          <w:sz w:val="28"/>
          <w:szCs w:val="24"/>
        </w:rPr>
        <w:t>9</w:t>
      </w:r>
      <w:r>
        <w:rPr>
          <w:rFonts w:hint="eastAsia" w:ascii="宋体" w:hAnsi="宋体" w:cs="仿宋"/>
          <w:sz w:val="28"/>
          <w:szCs w:val="24"/>
        </w:rPr>
        <w:t>、质量保障原则：</w:t>
      </w:r>
    </w:p>
    <w:p>
      <w:pPr>
        <w:spacing w:line="360" w:lineRule="auto"/>
        <w:ind w:firstLine="560" w:firstLineChars="200"/>
        <w:rPr>
          <w:rFonts w:ascii="宋体" w:cs="仿宋"/>
          <w:sz w:val="28"/>
          <w:szCs w:val="24"/>
        </w:rPr>
      </w:pPr>
      <w:r>
        <w:rPr>
          <w:rFonts w:hint="eastAsia" w:ascii="宋体" w:hAnsi="宋体" w:cs="仿宋"/>
          <w:sz w:val="28"/>
          <w:szCs w:val="24"/>
        </w:rPr>
        <w:t>在整个测评过程中，须特别重视项目质量管理。项目的实施将严格按照项目实施方案和流程进行，并由项目协调小组从中监督，控制项目的进度和质量。</w:t>
      </w:r>
    </w:p>
    <w:p>
      <w:pPr>
        <w:spacing w:beforeLines="50" w:afterLines="50" w:line="360" w:lineRule="auto"/>
        <w:ind w:firstLine="562" w:firstLineChars="200"/>
        <w:rPr>
          <w:rFonts w:ascii="宋体" w:cs="仿宋"/>
          <w:b/>
          <w:bCs/>
          <w:sz w:val="28"/>
          <w:szCs w:val="24"/>
        </w:rPr>
      </w:pPr>
      <w:r>
        <w:rPr>
          <w:rFonts w:ascii="宋体" w:hAnsi="宋体" w:cs="仿宋"/>
          <w:b/>
          <w:bCs/>
          <w:sz w:val="28"/>
          <w:szCs w:val="24"/>
        </w:rPr>
        <w:t>4</w:t>
      </w:r>
      <w:r>
        <w:rPr>
          <w:rFonts w:hint="eastAsia" w:ascii="宋体" w:hAnsi="宋体" w:cs="仿宋"/>
          <w:b/>
          <w:bCs/>
          <w:sz w:val="28"/>
          <w:szCs w:val="24"/>
        </w:rPr>
        <w:t>）测评人员和时限要求：</w:t>
      </w:r>
    </w:p>
    <w:p>
      <w:pPr>
        <w:spacing w:line="360" w:lineRule="auto"/>
        <w:ind w:firstLine="560" w:firstLineChars="200"/>
        <w:rPr>
          <w:rFonts w:ascii="宋体" w:cs="仿宋"/>
          <w:sz w:val="28"/>
          <w:szCs w:val="24"/>
        </w:rPr>
      </w:pPr>
      <w:r>
        <w:rPr>
          <w:rFonts w:ascii="宋体" w:hAnsi="宋体" w:cs="仿宋"/>
          <w:sz w:val="28"/>
          <w:szCs w:val="24"/>
        </w:rPr>
        <w:t>1</w:t>
      </w:r>
      <w:r>
        <w:rPr>
          <w:rFonts w:hint="eastAsia" w:ascii="宋体" w:hAnsi="宋体" w:cs="仿宋"/>
          <w:sz w:val="28"/>
          <w:szCs w:val="24"/>
        </w:rPr>
        <w:t>、测评驻场人员要求：本次测评至少需要</w:t>
      </w:r>
      <w:r>
        <w:rPr>
          <w:rFonts w:ascii="宋体" w:hAnsi="宋体" w:cs="仿宋"/>
          <w:sz w:val="28"/>
          <w:szCs w:val="24"/>
        </w:rPr>
        <w:t>1</w:t>
      </w:r>
      <w:r>
        <w:rPr>
          <w:rFonts w:hint="eastAsia" w:ascii="宋体" w:hAnsi="宋体" w:cs="仿宋"/>
          <w:sz w:val="28"/>
          <w:szCs w:val="24"/>
        </w:rPr>
        <w:t>名高级测评师，</w:t>
      </w:r>
      <w:r>
        <w:rPr>
          <w:rFonts w:ascii="宋体" w:hAnsi="宋体" w:cs="仿宋"/>
          <w:sz w:val="28"/>
          <w:szCs w:val="24"/>
        </w:rPr>
        <w:t>1</w:t>
      </w:r>
      <w:r>
        <w:rPr>
          <w:rFonts w:hint="eastAsia" w:ascii="宋体" w:hAnsi="宋体" w:cs="仿宋"/>
          <w:sz w:val="28"/>
          <w:szCs w:val="24"/>
        </w:rPr>
        <w:t>名中级测评师，</w:t>
      </w:r>
      <w:r>
        <w:rPr>
          <w:rFonts w:ascii="宋体" w:hAnsi="宋体" w:cs="仿宋"/>
          <w:sz w:val="28"/>
          <w:szCs w:val="24"/>
        </w:rPr>
        <w:t>2</w:t>
      </w:r>
      <w:r>
        <w:rPr>
          <w:rFonts w:hint="eastAsia" w:ascii="宋体" w:hAnsi="宋体" w:cs="仿宋"/>
          <w:sz w:val="28"/>
          <w:szCs w:val="24"/>
        </w:rPr>
        <w:t>名初级测评师。本次等保测评项目不得转包或者分包，所有驻场测评师必须是中标公司自己的正式员工</w:t>
      </w:r>
      <w:r>
        <w:rPr>
          <w:rFonts w:ascii="宋体" w:cs="仿宋"/>
          <w:sz w:val="28"/>
          <w:szCs w:val="24"/>
        </w:rPr>
        <w:t>,</w:t>
      </w:r>
      <w:r>
        <w:rPr>
          <w:rFonts w:hint="eastAsia" w:ascii="宋体" w:hAnsi="宋体" w:cs="仿宋"/>
          <w:sz w:val="28"/>
          <w:szCs w:val="24"/>
        </w:rPr>
        <w:t>所有驻场测评师必须持证上岗，响应文件中应提供项目组成员名单、社保主管部门出具的响应单位为其缴纳社保的证明、相关证书复印件等，未经采购方同意，项目组成员不得更改。</w:t>
      </w:r>
    </w:p>
    <w:p>
      <w:pPr>
        <w:spacing w:line="360" w:lineRule="auto"/>
        <w:ind w:firstLine="560" w:firstLineChars="200"/>
        <w:rPr>
          <w:rFonts w:ascii="宋体" w:cs="仿宋"/>
          <w:sz w:val="28"/>
          <w:szCs w:val="24"/>
        </w:rPr>
      </w:pPr>
      <w:r>
        <w:rPr>
          <w:rFonts w:ascii="宋体" w:hAnsi="宋体" w:cs="仿宋"/>
          <w:sz w:val="28"/>
          <w:szCs w:val="24"/>
        </w:rPr>
        <w:t>2</w:t>
      </w:r>
      <w:r>
        <w:rPr>
          <w:rFonts w:hint="eastAsia" w:ascii="宋体" w:hAnsi="宋体" w:cs="仿宋"/>
          <w:sz w:val="28"/>
          <w:szCs w:val="24"/>
        </w:rPr>
        <w:t>、测评时间要求：按照被测单位要求，合同签订完毕一周内启动测评工作。</w:t>
      </w:r>
    </w:p>
    <w:p>
      <w:pPr>
        <w:spacing w:line="360" w:lineRule="auto"/>
        <w:ind w:firstLine="560" w:firstLineChars="200"/>
        <w:rPr>
          <w:rFonts w:ascii="宋体" w:cs="仿宋"/>
          <w:color w:val="FF0000"/>
          <w:sz w:val="28"/>
          <w:szCs w:val="24"/>
        </w:rPr>
      </w:pPr>
      <w:r>
        <w:rPr>
          <w:rFonts w:ascii="宋体" w:hAnsi="宋体" w:cs="仿宋"/>
          <w:sz w:val="28"/>
          <w:szCs w:val="24"/>
        </w:rPr>
        <w:t>3</w:t>
      </w:r>
      <w:r>
        <w:rPr>
          <w:rFonts w:hint="eastAsia" w:ascii="宋体" w:hAnsi="宋体" w:cs="仿宋"/>
          <w:sz w:val="28"/>
          <w:szCs w:val="24"/>
        </w:rPr>
        <w:t>、测评期限要求：签订合同后</w:t>
      </w:r>
      <w:r>
        <w:rPr>
          <w:rFonts w:ascii="宋体" w:hAnsi="宋体" w:cs="仿宋"/>
          <w:sz w:val="28"/>
          <w:szCs w:val="24"/>
        </w:rPr>
        <w:t>30</w:t>
      </w:r>
      <w:r>
        <w:rPr>
          <w:rFonts w:hint="eastAsia" w:ascii="宋体" w:hAnsi="宋体" w:cs="仿宋"/>
          <w:sz w:val="28"/>
          <w:szCs w:val="24"/>
        </w:rPr>
        <w:t>个工作日内完成信息安全等级保护测评并出具盖章报告。</w:t>
      </w:r>
    </w:p>
    <w:p>
      <w:pPr>
        <w:pStyle w:val="2"/>
      </w:pPr>
      <w:r>
        <w:rPr>
          <w:rFonts w:hint="eastAsia"/>
          <w:b/>
          <w:sz w:val="28"/>
        </w:rPr>
        <w:t>（四</w:t>
      </w:r>
      <w:r>
        <w:rPr>
          <w:b/>
          <w:sz w:val="28"/>
        </w:rPr>
        <w:t xml:space="preserve">) </w:t>
      </w:r>
      <w:r>
        <w:rPr>
          <w:rFonts w:hint="eastAsia"/>
          <w:b/>
          <w:sz w:val="28"/>
        </w:rPr>
        <w:t>其它要求</w:t>
      </w:r>
    </w:p>
    <w:p>
      <w:pPr>
        <w:spacing w:line="360" w:lineRule="auto"/>
        <w:ind w:firstLine="560" w:firstLineChars="200"/>
        <w:rPr>
          <w:rFonts w:ascii="宋体" w:cs="仿宋"/>
          <w:sz w:val="28"/>
          <w:szCs w:val="24"/>
        </w:rPr>
      </w:pPr>
      <w:r>
        <w:rPr>
          <w:rFonts w:hint="eastAsia" w:ascii="宋体" w:hAnsi="宋体" w:cs="仿宋"/>
          <w:sz w:val="28"/>
          <w:szCs w:val="24"/>
        </w:rPr>
        <w:t>开展测评过程中，需要运用专业的测试工具对业务系统进行漏洞扫描和测试，存在一定的安全风险。服务供应商需要在测评服务期间，提供应急响应技术支撑，在遇到紧急情况下，采购方可以要求服务供应商在最短的时间内到达现场提供应急响应服务。</w:t>
      </w:r>
    </w:p>
    <w:p>
      <w:pPr>
        <w:spacing w:line="360" w:lineRule="auto"/>
        <w:ind w:firstLine="560" w:firstLineChars="200"/>
        <w:rPr>
          <w:rFonts w:ascii="宋体" w:cs="仿宋"/>
          <w:sz w:val="28"/>
          <w:szCs w:val="24"/>
        </w:rPr>
      </w:pPr>
      <w:r>
        <w:rPr>
          <w:rFonts w:hint="eastAsia" w:ascii="宋体" w:hAnsi="宋体" w:cs="仿宋"/>
          <w:sz w:val="28"/>
          <w:szCs w:val="24"/>
        </w:rPr>
        <w:t>如果服务商未能按照采购方的要求提供应急响应服务，采购方有权终止合同，造成的经济损失和法律责任由服务商承担。</w:t>
      </w:r>
    </w:p>
    <w:p>
      <w:pPr>
        <w:spacing w:line="360" w:lineRule="auto"/>
        <w:ind w:firstLine="560" w:firstLineChars="200"/>
        <w:rPr>
          <w:rFonts w:ascii="宋体" w:cs="仿宋"/>
          <w:sz w:val="28"/>
          <w:szCs w:val="24"/>
        </w:rPr>
      </w:pPr>
      <w:r>
        <w:rPr>
          <w:rFonts w:hint="eastAsia" w:ascii="宋体" w:hAnsi="宋体" w:cs="仿宋"/>
          <w:sz w:val="28"/>
          <w:szCs w:val="24"/>
        </w:rPr>
        <w:t>涉及网络安全事件，服务商需配合公安机关协助调查。如果最终认定为服务商的责任，采购方可以终止服务合同，服务方承担相应的法律责任和经济损失。</w:t>
      </w:r>
    </w:p>
    <w:p>
      <w:pPr>
        <w:widowControl/>
        <w:jc w:val="left"/>
        <w:rPr>
          <w:rFonts w:ascii="宋体" w:cs="仿宋"/>
          <w:b/>
          <w:bCs/>
          <w:kern w:val="44"/>
          <w:sz w:val="44"/>
          <w:szCs w:val="44"/>
        </w:rPr>
      </w:pPr>
    </w:p>
    <w:p>
      <w:pPr>
        <w:pStyle w:val="3"/>
        <w:spacing w:before="240" w:after="240" w:line="360" w:lineRule="auto"/>
        <w:jc w:val="center"/>
        <w:rPr>
          <w:rFonts w:ascii="宋体" w:cs="仿宋"/>
        </w:rPr>
      </w:pPr>
      <w:bookmarkStart w:id="4" w:name="_Toc33457483"/>
      <w:r>
        <w:rPr>
          <w:rFonts w:hint="eastAsia" w:ascii="宋体" w:hAnsi="宋体" w:cs="仿宋"/>
        </w:rPr>
        <w:t>第四章评标办法</w:t>
      </w:r>
      <w:bookmarkEnd w:id="4"/>
    </w:p>
    <w:p>
      <w:pPr>
        <w:tabs>
          <w:tab w:val="left" w:pos="3585"/>
        </w:tabs>
        <w:snapToGrid w:val="0"/>
        <w:spacing w:line="360" w:lineRule="auto"/>
        <w:ind w:firstLine="551" w:firstLineChars="196"/>
        <w:jc w:val="left"/>
        <w:rPr>
          <w:rFonts w:ascii="宋体" w:cs="仿宋"/>
          <w:b/>
          <w:sz w:val="28"/>
          <w:szCs w:val="24"/>
        </w:rPr>
      </w:pPr>
      <w:r>
        <w:rPr>
          <w:rFonts w:hint="eastAsia" w:ascii="宋体" w:hAnsi="宋体" w:cs="仿宋"/>
          <w:b/>
          <w:bCs/>
          <w:sz w:val="28"/>
          <w:szCs w:val="24"/>
        </w:rPr>
        <w:t>一、</w:t>
      </w:r>
      <w:r>
        <w:rPr>
          <w:rFonts w:hint="eastAsia" w:ascii="宋体" w:hAnsi="宋体" w:cs="仿宋"/>
          <w:b/>
          <w:sz w:val="28"/>
          <w:szCs w:val="24"/>
        </w:rPr>
        <w:t>招标人组织开标</w:t>
      </w:r>
    </w:p>
    <w:p>
      <w:pPr>
        <w:snapToGrid w:val="0"/>
        <w:spacing w:line="360" w:lineRule="auto"/>
        <w:ind w:firstLine="560" w:firstLineChars="200"/>
        <w:rPr>
          <w:rFonts w:ascii="宋体" w:cs="仿宋"/>
          <w:sz w:val="28"/>
          <w:szCs w:val="24"/>
        </w:rPr>
      </w:pPr>
      <w:r>
        <w:rPr>
          <w:rFonts w:hint="eastAsia" w:ascii="宋体" w:hAnsi="宋体" w:cs="仿宋"/>
          <w:sz w:val="28"/>
          <w:szCs w:val="24"/>
        </w:rPr>
        <w:t>投标人的法定代表人或授权人须持有效身份证参加开标会。</w:t>
      </w:r>
    </w:p>
    <w:p>
      <w:pPr>
        <w:tabs>
          <w:tab w:val="left" w:pos="3585"/>
        </w:tabs>
        <w:snapToGrid w:val="0"/>
        <w:spacing w:line="360" w:lineRule="auto"/>
        <w:ind w:firstLine="551" w:firstLineChars="196"/>
        <w:jc w:val="left"/>
        <w:rPr>
          <w:rFonts w:ascii="宋体" w:cs="仿宋"/>
          <w:b/>
          <w:bCs/>
          <w:sz w:val="28"/>
          <w:szCs w:val="24"/>
        </w:rPr>
      </w:pPr>
      <w:r>
        <w:rPr>
          <w:rFonts w:hint="eastAsia" w:ascii="宋体" w:hAnsi="宋体" w:cs="仿宋"/>
          <w:b/>
          <w:bCs/>
          <w:sz w:val="28"/>
          <w:szCs w:val="24"/>
        </w:rPr>
        <w:t>二、评委会的组成</w:t>
      </w:r>
    </w:p>
    <w:p>
      <w:pPr>
        <w:snapToGrid w:val="0"/>
        <w:spacing w:line="360" w:lineRule="auto"/>
        <w:ind w:firstLine="560" w:firstLineChars="200"/>
        <w:rPr>
          <w:rFonts w:ascii="宋体" w:cs="仿宋"/>
          <w:sz w:val="28"/>
          <w:szCs w:val="24"/>
        </w:rPr>
      </w:pPr>
      <w:r>
        <w:rPr>
          <w:rFonts w:hint="eastAsia" w:ascii="宋体" w:hAnsi="宋体" w:cs="仿宋"/>
          <w:sz w:val="28"/>
          <w:szCs w:val="24"/>
        </w:rPr>
        <w:t>评委会由招标人代表和委托的专家共</w:t>
      </w:r>
      <w:r>
        <w:rPr>
          <w:rFonts w:ascii="宋体" w:hAnsi="宋体" w:cs="仿宋"/>
          <w:sz w:val="28"/>
          <w:szCs w:val="24"/>
        </w:rPr>
        <w:t>3</w:t>
      </w:r>
      <w:r>
        <w:rPr>
          <w:rFonts w:hint="eastAsia" w:ascii="宋体" w:hAnsi="宋体" w:cs="仿宋"/>
          <w:sz w:val="28"/>
          <w:szCs w:val="24"/>
        </w:rPr>
        <w:t>人以上单数组成，对投标文件进行审查、质疑、评估、比较。评委会按照公平、公正、择优的原则进行独立评标。</w:t>
      </w:r>
    </w:p>
    <w:p>
      <w:pPr>
        <w:snapToGrid w:val="0"/>
        <w:spacing w:line="360" w:lineRule="auto"/>
        <w:ind w:firstLine="562" w:firstLineChars="200"/>
        <w:jc w:val="left"/>
        <w:rPr>
          <w:rFonts w:ascii="宋体" w:cs="仿宋"/>
          <w:b/>
          <w:sz w:val="28"/>
          <w:szCs w:val="24"/>
        </w:rPr>
      </w:pPr>
      <w:r>
        <w:rPr>
          <w:rFonts w:hint="eastAsia" w:ascii="宋体" w:hAnsi="宋体" w:cs="仿宋"/>
          <w:b/>
          <w:sz w:val="28"/>
          <w:szCs w:val="24"/>
        </w:rPr>
        <w:t>（一）评审内容</w:t>
      </w:r>
    </w:p>
    <w:p>
      <w:pPr>
        <w:snapToGrid w:val="0"/>
        <w:spacing w:line="360" w:lineRule="auto"/>
        <w:ind w:firstLine="548" w:firstLineChars="196"/>
        <w:jc w:val="left"/>
        <w:rPr>
          <w:rFonts w:ascii="宋体" w:cs="仿宋"/>
          <w:sz w:val="28"/>
          <w:szCs w:val="24"/>
        </w:rPr>
      </w:pPr>
      <w:r>
        <w:rPr>
          <w:rFonts w:ascii="宋体" w:hAnsi="宋体" w:cs="仿宋"/>
          <w:sz w:val="28"/>
          <w:szCs w:val="24"/>
        </w:rPr>
        <w:t>1</w:t>
      </w:r>
      <w:r>
        <w:rPr>
          <w:rFonts w:hint="eastAsia" w:ascii="宋体" w:hAnsi="宋体" w:cs="仿宋"/>
          <w:sz w:val="28"/>
          <w:szCs w:val="24"/>
        </w:rPr>
        <w:t>、投标人投标资格；</w:t>
      </w:r>
    </w:p>
    <w:p>
      <w:pPr>
        <w:snapToGrid w:val="0"/>
        <w:spacing w:line="360" w:lineRule="auto"/>
        <w:ind w:firstLine="560" w:firstLineChars="200"/>
        <w:rPr>
          <w:rFonts w:ascii="宋体" w:cs="仿宋"/>
          <w:sz w:val="28"/>
          <w:szCs w:val="24"/>
        </w:rPr>
      </w:pPr>
      <w:r>
        <w:rPr>
          <w:rFonts w:ascii="宋体" w:hAnsi="宋体" w:cs="仿宋"/>
          <w:sz w:val="28"/>
          <w:szCs w:val="24"/>
        </w:rPr>
        <w:t>2</w:t>
      </w:r>
      <w:r>
        <w:rPr>
          <w:rFonts w:hint="eastAsia" w:ascii="宋体" w:hAnsi="宋体" w:cs="仿宋"/>
          <w:sz w:val="28"/>
          <w:szCs w:val="24"/>
        </w:rPr>
        <w:t>、要求的保证金是否已提供；</w:t>
      </w:r>
    </w:p>
    <w:p>
      <w:pPr>
        <w:snapToGrid w:val="0"/>
        <w:spacing w:line="360" w:lineRule="auto"/>
        <w:ind w:firstLine="560" w:firstLineChars="200"/>
        <w:rPr>
          <w:rFonts w:ascii="宋体" w:cs="仿宋"/>
          <w:sz w:val="28"/>
          <w:szCs w:val="24"/>
        </w:rPr>
      </w:pPr>
      <w:r>
        <w:rPr>
          <w:rFonts w:ascii="宋体" w:hAnsi="宋体" w:cs="仿宋"/>
          <w:sz w:val="28"/>
          <w:szCs w:val="24"/>
        </w:rPr>
        <w:t>3</w:t>
      </w:r>
      <w:r>
        <w:rPr>
          <w:rFonts w:hint="eastAsia" w:ascii="宋体" w:hAnsi="宋体" w:cs="仿宋"/>
          <w:sz w:val="28"/>
          <w:szCs w:val="24"/>
        </w:rPr>
        <w:t>、投标文件是否完整；</w:t>
      </w:r>
    </w:p>
    <w:p>
      <w:pPr>
        <w:snapToGrid w:val="0"/>
        <w:spacing w:line="360" w:lineRule="auto"/>
        <w:ind w:firstLine="560" w:firstLineChars="200"/>
        <w:rPr>
          <w:rFonts w:ascii="宋体" w:cs="仿宋"/>
          <w:sz w:val="28"/>
          <w:szCs w:val="24"/>
        </w:rPr>
      </w:pPr>
      <w:r>
        <w:rPr>
          <w:rFonts w:ascii="宋体" w:hAnsi="宋体" w:cs="仿宋"/>
          <w:sz w:val="28"/>
          <w:szCs w:val="24"/>
        </w:rPr>
        <w:t>4</w:t>
      </w:r>
      <w:r>
        <w:rPr>
          <w:rFonts w:hint="eastAsia" w:ascii="宋体" w:hAnsi="宋体" w:cs="仿宋"/>
          <w:sz w:val="28"/>
          <w:szCs w:val="24"/>
        </w:rPr>
        <w:t>、投标文件是否恰当地签署；</w:t>
      </w:r>
    </w:p>
    <w:p>
      <w:pPr>
        <w:snapToGrid w:val="0"/>
        <w:spacing w:line="360" w:lineRule="auto"/>
        <w:ind w:firstLine="560" w:firstLineChars="200"/>
        <w:jc w:val="left"/>
        <w:rPr>
          <w:rFonts w:ascii="宋体" w:cs="仿宋"/>
          <w:b/>
          <w:sz w:val="28"/>
          <w:szCs w:val="24"/>
        </w:rPr>
      </w:pPr>
      <w:r>
        <w:rPr>
          <w:rFonts w:ascii="宋体" w:hAnsi="宋体" w:cs="仿宋"/>
          <w:sz w:val="28"/>
          <w:szCs w:val="24"/>
        </w:rPr>
        <w:t>5</w:t>
      </w:r>
      <w:r>
        <w:rPr>
          <w:rFonts w:hint="eastAsia" w:ascii="宋体" w:hAnsi="宋体" w:cs="仿宋"/>
          <w:sz w:val="28"/>
          <w:szCs w:val="24"/>
        </w:rPr>
        <w:t>、是否作出实质性响应（</w:t>
      </w:r>
      <w:r>
        <w:rPr>
          <w:rFonts w:hint="eastAsia" w:ascii="宋体" w:hAnsi="宋体" w:cs="仿宋"/>
          <w:b/>
          <w:sz w:val="28"/>
          <w:szCs w:val="24"/>
        </w:rPr>
        <w:t>是否有实质性响应，只根据投标文件本身，而不寻求外部证据）；</w:t>
      </w:r>
    </w:p>
    <w:p>
      <w:pPr>
        <w:snapToGrid w:val="0"/>
        <w:spacing w:line="360" w:lineRule="auto"/>
        <w:ind w:firstLine="560" w:firstLineChars="200"/>
        <w:jc w:val="left"/>
        <w:rPr>
          <w:rFonts w:ascii="宋体" w:cs="仿宋"/>
          <w:sz w:val="28"/>
          <w:szCs w:val="24"/>
        </w:rPr>
      </w:pPr>
      <w:r>
        <w:rPr>
          <w:rFonts w:ascii="宋体" w:hAnsi="宋体" w:cs="仿宋"/>
          <w:sz w:val="28"/>
          <w:szCs w:val="24"/>
        </w:rPr>
        <w:t>6</w:t>
      </w:r>
      <w:r>
        <w:rPr>
          <w:rFonts w:hint="eastAsia" w:ascii="宋体" w:hAnsi="宋体" w:cs="仿宋"/>
          <w:sz w:val="28"/>
          <w:szCs w:val="24"/>
        </w:rPr>
        <w:t>、是否有计算错误。</w:t>
      </w:r>
    </w:p>
    <w:p>
      <w:pPr>
        <w:snapToGrid w:val="0"/>
        <w:spacing w:line="360" w:lineRule="auto"/>
        <w:ind w:firstLine="562" w:firstLineChars="200"/>
        <w:jc w:val="left"/>
        <w:rPr>
          <w:rFonts w:ascii="宋体" w:cs="仿宋"/>
          <w:b/>
          <w:bCs/>
          <w:sz w:val="28"/>
          <w:szCs w:val="24"/>
        </w:rPr>
      </w:pPr>
      <w:r>
        <w:rPr>
          <w:rFonts w:hint="eastAsia" w:ascii="宋体" w:hAnsi="宋体" w:cs="仿宋"/>
          <w:b/>
          <w:bCs/>
          <w:sz w:val="28"/>
          <w:szCs w:val="24"/>
        </w:rPr>
        <w:t>（二）相应的规定</w:t>
      </w:r>
    </w:p>
    <w:p>
      <w:pPr>
        <w:snapToGrid w:val="0"/>
        <w:spacing w:line="360" w:lineRule="auto"/>
        <w:ind w:firstLine="560" w:firstLineChars="200"/>
        <w:jc w:val="left"/>
        <w:rPr>
          <w:rFonts w:ascii="宋体" w:cs="仿宋"/>
          <w:sz w:val="28"/>
          <w:szCs w:val="24"/>
        </w:rPr>
      </w:pPr>
      <w:r>
        <w:rPr>
          <w:rFonts w:ascii="宋体" w:hAnsi="宋体" w:cs="仿宋"/>
          <w:bCs/>
          <w:sz w:val="28"/>
          <w:szCs w:val="24"/>
        </w:rPr>
        <w:t>1</w:t>
      </w:r>
      <w:r>
        <w:rPr>
          <w:rFonts w:hint="eastAsia" w:ascii="宋体" w:hAnsi="宋体" w:cs="仿宋"/>
          <w:bCs/>
          <w:sz w:val="28"/>
          <w:szCs w:val="24"/>
        </w:rPr>
        <w:t>、</w:t>
      </w:r>
      <w:r>
        <w:rPr>
          <w:rFonts w:hint="eastAsia" w:ascii="宋体" w:hAnsi="宋体" w:cs="仿宋"/>
          <w:sz w:val="28"/>
          <w:szCs w:val="24"/>
        </w:rPr>
        <w:t>如果单价汇总金额与总价金额有出入，以单价金额计算结果为准；</w:t>
      </w:r>
    </w:p>
    <w:p>
      <w:pPr>
        <w:snapToGrid w:val="0"/>
        <w:spacing w:line="360" w:lineRule="auto"/>
        <w:ind w:firstLine="560" w:firstLineChars="200"/>
        <w:jc w:val="left"/>
        <w:rPr>
          <w:rFonts w:ascii="宋体" w:cs="仿宋"/>
          <w:sz w:val="28"/>
          <w:szCs w:val="24"/>
        </w:rPr>
      </w:pPr>
      <w:r>
        <w:rPr>
          <w:rFonts w:ascii="宋体" w:hAnsi="宋体" w:cs="仿宋"/>
          <w:sz w:val="28"/>
          <w:szCs w:val="24"/>
        </w:rPr>
        <w:t>2</w:t>
      </w:r>
      <w:r>
        <w:rPr>
          <w:rFonts w:hint="eastAsia" w:ascii="宋体" w:hAnsi="宋体" w:cs="仿宋"/>
          <w:sz w:val="28"/>
          <w:szCs w:val="24"/>
        </w:rPr>
        <w:t>、单价金额小数点有明显错位的，应以总价为准；</w:t>
      </w:r>
    </w:p>
    <w:p>
      <w:pPr>
        <w:snapToGrid w:val="0"/>
        <w:spacing w:line="360" w:lineRule="auto"/>
        <w:ind w:firstLine="560" w:firstLineChars="200"/>
        <w:jc w:val="left"/>
        <w:rPr>
          <w:rFonts w:ascii="宋体" w:cs="仿宋"/>
          <w:sz w:val="28"/>
          <w:szCs w:val="24"/>
        </w:rPr>
      </w:pPr>
      <w:r>
        <w:rPr>
          <w:rFonts w:ascii="宋体" w:hAnsi="宋体" w:cs="仿宋"/>
          <w:sz w:val="28"/>
          <w:szCs w:val="24"/>
        </w:rPr>
        <w:t>3</w:t>
      </w:r>
      <w:r>
        <w:rPr>
          <w:rFonts w:hint="eastAsia" w:ascii="宋体" w:hAnsi="宋体" w:cs="仿宋"/>
          <w:sz w:val="28"/>
          <w:szCs w:val="24"/>
        </w:rPr>
        <w:t>、正本与副本有矛盾的，以正本为准；</w:t>
      </w:r>
    </w:p>
    <w:p>
      <w:pPr>
        <w:snapToGrid w:val="0"/>
        <w:spacing w:line="360" w:lineRule="auto"/>
        <w:ind w:firstLine="560" w:firstLineChars="200"/>
        <w:jc w:val="left"/>
        <w:rPr>
          <w:rFonts w:ascii="宋体" w:cs="仿宋"/>
          <w:sz w:val="28"/>
          <w:szCs w:val="24"/>
        </w:rPr>
      </w:pPr>
      <w:r>
        <w:rPr>
          <w:rFonts w:ascii="宋体" w:hAnsi="宋体" w:cs="仿宋"/>
          <w:sz w:val="28"/>
          <w:szCs w:val="24"/>
        </w:rPr>
        <w:t>4</w:t>
      </w:r>
      <w:r>
        <w:rPr>
          <w:rFonts w:hint="eastAsia" w:ascii="宋体" w:hAnsi="宋体" w:cs="仿宋"/>
          <w:sz w:val="28"/>
          <w:szCs w:val="24"/>
        </w:rPr>
        <w:t>、若文件大写表示的数据与数字表示的有差别，以大写表示的数据为准。</w:t>
      </w:r>
    </w:p>
    <w:p>
      <w:pPr>
        <w:tabs>
          <w:tab w:val="left" w:pos="3585"/>
        </w:tabs>
        <w:snapToGrid w:val="0"/>
        <w:spacing w:line="360" w:lineRule="auto"/>
        <w:ind w:firstLine="551" w:firstLineChars="196"/>
        <w:jc w:val="left"/>
        <w:rPr>
          <w:rFonts w:ascii="宋体" w:cs="仿宋"/>
          <w:b/>
          <w:bCs/>
          <w:sz w:val="28"/>
          <w:szCs w:val="24"/>
        </w:rPr>
      </w:pPr>
      <w:r>
        <w:rPr>
          <w:rFonts w:hint="eastAsia" w:ascii="宋体" w:hAnsi="宋体" w:cs="仿宋"/>
          <w:b/>
          <w:bCs/>
          <w:sz w:val="28"/>
          <w:szCs w:val="24"/>
        </w:rPr>
        <w:t>三、陈述、演示、答疑、澄清</w:t>
      </w:r>
    </w:p>
    <w:p>
      <w:pPr>
        <w:snapToGrid w:val="0"/>
        <w:spacing w:line="360" w:lineRule="auto"/>
        <w:ind w:firstLine="560" w:firstLineChars="200"/>
        <w:jc w:val="left"/>
        <w:rPr>
          <w:rFonts w:ascii="宋体" w:cs="仿宋"/>
          <w:b/>
          <w:sz w:val="28"/>
          <w:szCs w:val="24"/>
        </w:rPr>
      </w:pPr>
      <w:r>
        <w:rPr>
          <w:rFonts w:hint="eastAsia" w:ascii="宋体" w:hAnsi="宋体" w:cs="仿宋"/>
          <w:sz w:val="28"/>
          <w:szCs w:val="24"/>
          <w:shd w:val="clear" w:color="auto" w:fill="FFFFFF"/>
        </w:rPr>
        <w:t>如评委会认为有必要，投标人按评委会的要求作陈述、演示、</w:t>
      </w:r>
      <w:r>
        <w:rPr>
          <w:rFonts w:hint="eastAsia" w:ascii="宋体" w:hAnsi="宋体" w:cs="仿宋"/>
          <w:sz w:val="28"/>
          <w:szCs w:val="24"/>
        </w:rPr>
        <w:t>答疑及澄清其投标内容。时间由</w:t>
      </w:r>
      <w:r>
        <w:rPr>
          <w:rFonts w:hint="eastAsia" w:ascii="宋体" w:hAnsi="宋体" w:cs="仿宋"/>
          <w:sz w:val="28"/>
          <w:szCs w:val="24"/>
          <w:shd w:val="clear" w:color="auto" w:fill="FFFFFF"/>
        </w:rPr>
        <w:t>评委会</w:t>
      </w:r>
      <w:r>
        <w:rPr>
          <w:rFonts w:hint="eastAsia" w:ascii="宋体" w:hAnsi="宋体" w:cs="仿宋"/>
          <w:sz w:val="28"/>
          <w:szCs w:val="24"/>
        </w:rPr>
        <w:t>掌握。</w:t>
      </w:r>
    </w:p>
    <w:p>
      <w:pPr>
        <w:snapToGrid w:val="0"/>
        <w:spacing w:line="360" w:lineRule="auto"/>
        <w:ind w:firstLine="560" w:firstLineChars="200"/>
        <w:jc w:val="left"/>
        <w:rPr>
          <w:rFonts w:ascii="宋体" w:cs="仿宋"/>
          <w:sz w:val="28"/>
          <w:szCs w:val="24"/>
        </w:rPr>
      </w:pPr>
      <w:r>
        <w:rPr>
          <w:rFonts w:hint="eastAsia" w:ascii="宋体" w:hAnsi="宋体" w:cs="仿宋"/>
          <w:sz w:val="28"/>
          <w:szCs w:val="24"/>
        </w:rPr>
        <w:t>重要澄清答复应是书面的，但不得对投标内容进行实质性修改。</w:t>
      </w:r>
    </w:p>
    <w:p>
      <w:pPr>
        <w:tabs>
          <w:tab w:val="left" w:pos="3585"/>
        </w:tabs>
        <w:snapToGrid w:val="0"/>
        <w:spacing w:line="360" w:lineRule="auto"/>
        <w:ind w:firstLine="551" w:firstLineChars="196"/>
        <w:jc w:val="left"/>
        <w:rPr>
          <w:rFonts w:ascii="宋体" w:cs="仿宋"/>
          <w:b/>
          <w:bCs/>
          <w:sz w:val="28"/>
          <w:szCs w:val="24"/>
        </w:rPr>
      </w:pPr>
      <w:r>
        <w:rPr>
          <w:rFonts w:hint="eastAsia" w:ascii="宋体" w:hAnsi="宋体" w:cs="仿宋"/>
          <w:b/>
          <w:bCs/>
          <w:sz w:val="28"/>
          <w:szCs w:val="24"/>
        </w:rPr>
        <w:t>四、出现下列情形之一的，作无效投标处理</w:t>
      </w:r>
    </w:p>
    <w:p>
      <w:pPr>
        <w:snapToGrid w:val="0"/>
        <w:spacing w:line="360" w:lineRule="auto"/>
        <w:ind w:firstLine="560" w:firstLineChars="200"/>
        <w:jc w:val="left"/>
        <w:rPr>
          <w:rFonts w:ascii="宋体" w:cs="仿宋"/>
          <w:sz w:val="28"/>
          <w:szCs w:val="24"/>
        </w:rPr>
      </w:pPr>
      <w:r>
        <w:rPr>
          <w:rFonts w:ascii="宋体" w:hAnsi="宋体" w:cs="仿宋"/>
          <w:sz w:val="28"/>
          <w:szCs w:val="24"/>
        </w:rPr>
        <w:t>1</w:t>
      </w:r>
      <w:r>
        <w:rPr>
          <w:rFonts w:hint="eastAsia" w:ascii="宋体" w:hAnsi="宋体" w:cs="仿宋"/>
          <w:sz w:val="28"/>
          <w:szCs w:val="24"/>
        </w:rPr>
        <w:t>、未按照招标文件规定要求装订、标记、密封、签署、盖章的；</w:t>
      </w:r>
    </w:p>
    <w:p>
      <w:pPr>
        <w:snapToGrid w:val="0"/>
        <w:spacing w:line="360" w:lineRule="auto"/>
        <w:ind w:firstLine="560" w:firstLineChars="200"/>
        <w:jc w:val="left"/>
        <w:rPr>
          <w:rFonts w:ascii="宋体" w:cs="仿宋"/>
          <w:sz w:val="28"/>
          <w:szCs w:val="24"/>
        </w:rPr>
      </w:pPr>
      <w:r>
        <w:rPr>
          <w:rFonts w:ascii="宋体" w:hAnsi="宋体" w:cs="仿宋"/>
          <w:sz w:val="28"/>
          <w:szCs w:val="24"/>
        </w:rPr>
        <w:t>2</w:t>
      </w:r>
      <w:r>
        <w:rPr>
          <w:rFonts w:hint="eastAsia" w:ascii="宋体" w:hAnsi="宋体" w:cs="仿宋"/>
          <w:sz w:val="28"/>
          <w:szCs w:val="24"/>
        </w:rPr>
        <w:t>、不具备招标文件中规定的技术规格参数要求的；</w:t>
      </w:r>
    </w:p>
    <w:p>
      <w:pPr>
        <w:snapToGrid w:val="0"/>
        <w:spacing w:line="360" w:lineRule="auto"/>
        <w:ind w:firstLine="560" w:firstLineChars="200"/>
        <w:jc w:val="left"/>
        <w:rPr>
          <w:rFonts w:ascii="宋体" w:cs="仿宋"/>
          <w:sz w:val="28"/>
          <w:szCs w:val="24"/>
        </w:rPr>
      </w:pPr>
      <w:r>
        <w:rPr>
          <w:rFonts w:ascii="宋体" w:hAnsi="宋体" w:cs="仿宋"/>
          <w:sz w:val="28"/>
          <w:szCs w:val="24"/>
        </w:rPr>
        <w:t>3</w:t>
      </w:r>
      <w:r>
        <w:rPr>
          <w:rFonts w:hint="eastAsia" w:ascii="宋体" w:hAnsi="宋体" w:cs="仿宋"/>
          <w:sz w:val="28"/>
          <w:szCs w:val="24"/>
        </w:rPr>
        <w:t>、不符合法律、法规和招标文件中规定的其他实质性要求的。</w:t>
      </w:r>
    </w:p>
    <w:p>
      <w:pPr>
        <w:tabs>
          <w:tab w:val="left" w:pos="3585"/>
        </w:tabs>
        <w:snapToGrid w:val="0"/>
        <w:spacing w:line="360" w:lineRule="auto"/>
        <w:ind w:firstLine="551" w:firstLineChars="196"/>
        <w:jc w:val="left"/>
        <w:rPr>
          <w:rFonts w:ascii="宋体" w:cs="仿宋"/>
          <w:b/>
          <w:bCs/>
          <w:sz w:val="28"/>
          <w:szCs w:val="24"/>
        </w:rPr>
      </w:pPr>
      <w:r>
        <w:rPr>
          <w:rFonts w:hint="eastAsia" w:ascii="宋体" w:hAnsi="宋体" w:cs="仿宋"/>
          <w:b/>
          <w:bCs/>
          <w:sz w:val="28"/>
          <w:szCs w:val="24"/>
        </w:rPr>
        <w:t>五、出现下列情形之一的，作废标处理</w:t>
      </w:r>
    </w:p>
    <w:p>
      <w:pPr>
        <w:snapToGrid w:val="0"/>
        <w:spacing w:line="360" w:lineRule="auto"/>
        <w:ind w:firstLine="560" w:firstLineChars="200"/>
        <w:jc w:val="left"/>
        <w:rPr>
          <w:rFonts w:ascii="宋体" w:cs="仿宋"/>
          <w:sz w:val="28"/>
          <w:szCs w:val="24"/>
        </w:rPr>
      </w:pPr>
      <w:r>
        <w:rPr>
          <w:rFonts w:ascii="宋体" w:hAnsi="宋体" w:cs="仿宋"/>
          <w:sz w:val="28"/>
          <w:szCs w:val="24"/>
        </w:rPr>
        <w:t>1</w:t>
      </w:r>
      <w:r>
        <w:rPr>
          <w:rFonts w:hint="eastAsia" w:ascii="宋体" w:hAnsi="宋体" w:cs="仿宋"/>
          <w:sz w:val="28"/>
          <w:szCs w:val="24"/>
        </w:rPr>
        <w:t>、出现影响采购公正的违法违规行为的；</w:t>
      </w:r>
    </w:p>
    <w:p>
      <w:pPr>
        <w:snapToGrid w:val="0"/>
        <w:spacing w:line="360" w:lineRule="auto"/>
        <w:ind w:firstLine="560" w:firstLineChars="200"/>
        <w:jc w:val="left"/>
        <w:rPr>
          <w:rFonts w:ascii="宋体" w:cs="仿宋"/>
          <w:sz w:val="28"/>
          <w:szCs w:val="24"/>
        </w:rPr>
      </w:pPr>
      <w:r>
        <w:rPr>
          <w:rFonts w:ascii="宋体" w:hAnsi="宋体" w:cs="仿宋"/>
          <w:sz w:val="28"/>
          <w:szCs w:val="24"/>
        </w:rPr>
        <w:t>2</w:t>
      </w:r>
      <w:r>
        <w:rPr>
          <w:rFonts w:hint="eastAsia" w:ascii="宋体" w:hAnsi="宋体" w:cs="仿宋"/>
          <w:sz w:val="28"/>
          <w:szCs w:val="24"/>
        </w:rPr>
        <w:t>、投标人的报价均超过了采购预算，采购人不能支付的；</w:t>
      </w:r>
    </w:p>
    <w:p>
      <w:pPr>
        <w:snapToGrid w:val="0"/>
        <w:spacing w:line="360" w:lineRule="auto"/>
        <w:ind w:firstLine="560" w:firstLineChars="200"/>
        <w:jc w:val="left"/>
        <w:rPr>
          <w:rFonts w:ascii="宋体" w:cs="仿宋"/>
          <w:sz w:val="28"/>
          <w:szCs w:val="24"/>
        </w:rPr>
      </w:pPr>
      <w:r>
        <w:rPr>
          <w:rFonts w:ascii="宋体" w:hAnsi="宋体" w:cs="仿宋"/>
          <w:sz w:val="28"/>
          <w:szCs w:val="24"/>
        </w:rPr>
        <w:t>3</w:t>
      </w:r>
      <w:r>
        <w:rPr>
          <w:rFonts w:hint="eastAsia" w:ascii="宋体" w:hAnsi="宋体" w:cs="仿宋"/>
          <w:sz w:val="28"/>
          <w:szCs w:val="24"/>
        </w:rPr>
        <w:t>、因重大变故，采购任务取消的。</w:t>
      </w:r>
    </w:p>
    <w:p>
      <w:pPr>
        <w:snapToGrid w:val="0"/>
        <w:spacing w:line="360" w:lineRule="auto"/>
        <w:ind w:firstLine="560" w:firstLineChars="200"/>
        <w:jc w:val="left"/>
        <w:rPr>
          <w:rFonts w:ascii="宋体" w:cs="仿宋"/>
          <w:sz w:val="28"/>
          <w:szCs w:val="24"/>
        </w:rPr>
      </w:pPr>
      <w:r>
        <w:rPr>
          <w:rFonts w:hint="eastAsia" w:ascii="宋体" w:hAnsi="宋体" w:cs="仿宋"/>
          <w:sz w:val="28"/>
          <w:szCs w:val="24"/>
        </w:rPr>
        <w:t>上述均保留</w:t>
      </w:r>
      <w:r>
        <w:rPr>
          <w:rFonts w:hint="eastAsia" w:ascii="宋体" w:hAnsi="宋体" w:cs="仿宋"/>
          <w:sz w:val="28"/>
          <w:szCs w:val="24"/>
          <w:shd w:val="clear" w:color="auto" w:fill="FFFFFF"/>
        </w:rPr>
        <w:t>评委会</w:t>
      </w:r>
      <w:r>
        <w:rPr>
          <w:rFonts w:hint="eastAsia" w:ascii="宋体" w:hAnsi="宋体" w:cs="仿宋"/>
          <w:sz w:val="28"/>
          <w:szCs w:val="24"/>
        </w:rPr>
        <w:t>认定可以确定为无效投标或废标的其他情况。</w:t>
      </w:r>
    </w:p>
    <w:p>
      <w:pPr>
        <w:autoSpaceDE w:val="0"/>
        <w:autoSpaceDN w:val="0"/>
        <w:snapToGrid w:val="0"/>
        <w:spacing w:line="360" w:lineRule="auto"/>
        <w:ind w:firstLine="562" w:firstLineChars="200"/>
        <w:jc w:val="left"/>
        <w:rPr>
          <w:rFonts w:ascii="宋体" w:cs="仿宋"/>
          <w:b/>
          <w:bCs/>
          <w:sz w:val="28"/>
          <w:szCs w:val="24"/>
        </w:rPr>
      </w:pPr>
    </w:p>
    <w:p>
      <w:pPr>
        <w:autoSpaceDE w:val="0"/>
        <w:autoSpaceDN w:val="0"/>
        <w:snapToGrid w:val="0"/>
        <w:spacing w:line="360" w:lineRule="auto"/>
        <w:ind w:firstLine="562" w:firstLineChars="200"/>
        <w:jc w:val="left"/>
        <w:rPr>
          <w:rFonts w:ascii="宋体" w:cs="仿宋"/>
          <w:b/>
          <w:bCs/>
          <w:sz w:val="28"/>
          <w:szCs w:val="24"/>
        </w:rPr>
      </w:pPr>
      <w:r>
        <w:rPr>
          <w:rFonts w:hint="eastAsia" w:ascii="宋体" w:hAnsi="宋体" w:cs="仿宋"/>
          <w:b/>
          <w:bCs/>
          <w:sz w:val="28"/>
          <w:szCs w:val="24"/>
        </w:rPr>
        <w:t>七、评分标准</w:t>
      </w:r>
    </w:p>
    <w:tbl>
      <w:tblPr>
        <w:tblStyle w:val="11"/>
        <w:tblW w:w="9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341"/>
        <w:gridCol w:w="7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0" w:type="dxa"/>
            <w:vAlign w:val="center"/>
          </w:tcPr>
          <w:p>
            <w:pPr>
              <w:jc w:val="center"/>
              <w:rPr>
                <w:rFonts w:ascii="宋体"/>
                <w:bCs/>
                <w:sz w:val="22"/>
                <w:szCs w:val="18"/>
              </w:rPr>
            </w:pPr>
            <w:r>
              <w:rPr>
                <w:rFonts w:hint="eastAsia" w:ascii="宋体" w:hAnsi="宋体"/>
                <w:bCs/>
                <w:sz w:val="22"/>
                <w:szCs w:val="18"/>
              </w:rPr>
              <w:t>条款</w:t>
            </w:r>
          </w:p>
        </w:tc>
        <w:tc>
          <w:tcPr>
            <w:tcW w:w="1341" w:type="dxa"/>
            <w:vAlign w:val="center"/>
          </w:tcPr>
          <w:p>
            <w:pPr>
              <w:jc w:val="center"/>
              <w:rPr>
                <w:rFonts w:ascii="宋体"/>
                <w:bCs/>
                <w:sz w:val="22"/>
                <w:szCs w:val="18"/>
              </w:rPr>
            </w:pPr>
            <w:r>
              <w:rPr>
                <w:rFonts w:hint="eastAsia" w:ascii="宋体" w:hAnsi="宋体"/>
                <w:bCs/>
                <w:sz w:val="22"/>
                <w:szCs w:val="18"/>
              </w:rPr>
              <w:t>评分因素</w:t>
            </w:r>
          </w:p>
        </w:tc>
        <w:tc>
          <w:tcPr>
            <w:tcW w:w="7199" w:type="dxa"/>
            <w:vAlign w:val="center"/>
          </w:tcPr>
          <w:p>
            <w:pPr>
              <w:jc w:val="center"/>
              <w:rPr>
                <w:rFonts w:ascii="宋体"/>
                <w:bCs/>
                <w:sz w:val="22"/>
                <w:szCs w:val="18"/>
              </w:rPr>
            </w:pPr>
            <w:r>
              <w:rPr>
                <w:rFonts w:hint="eastAsia" w:ascii="宋体" w:hAnsi="宋体"/>
                <w:bCs/>
                <w:sz w:val="22"/>
                <w:szCs w:val="1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40" w:type="dxa"/>
            <w:vMerge w:val="restart"/>
            <w:vAlign w:val="center"/>
          </w:tcPr>
          <w:p>
            <w:pPr>
              <w:rPr>
                <w:rFonts w:ascii="宋体"/>
                <w:b/>
                <w:bCs/>
                <w:sz w:val="22"/>
                <w:szCs w:val="18"/>
              </w:rPr>
            </w:pPr>
            <w:r>
              <w:rPr>
                <w:rFonts w:hint="eastAsia" w:ascii="宋体" w:hAnsi="宋体"/>
                <w:b/>
                <w:bCs/>
                <w:sz w:val="22"/>
                <w:szCs w:val="18"/>
              </w:rPr>
              <w:t>商务技术分</w:t>
            </w:r>
          </w:p>
          <w:p>
            <w:pPr>
              <w:rPr>
                <w:rFonts w:ascii="宋体"/>
                <w:b/>
                <w:bCs/>
                <w:sz w:val="22"/>
                <w:szCs w:val="18"/>
              </w:rPr>
            </w:pPr>
            <w:r>
              <w:rPr>
                <w:rFonts w:hint="eastAsia" w:ascii="宋体" w:hAnsi="宋体"/>
                <w:b/>
                <w:bCs/>
                <w:sz w:val="22"/>
                <w:szCs w:val="18"/>
              </w:rPr>
              <w:t>（</w:t>
            </w:r>
            <w:r>
              <w:rPr>
                <w:rFonts w:ascii="宋体" w:hAnsi="宋体"/>
                <w:b/>
                <w:bCs/>
                <w:sz w:val="22"/>
                <w:szCs w:val="18"/>
              </w:rPr>
              <w:t>70</w:t>
            </w:r>
            <w:r>
              <w:rPr>
                <w:rFonts w:hint="eastAsia" w:ascii="宋体" w:hAnsi="宋体"/>
                <w:b/>
                <w:bCs/>
                <w:sz w:val="22"/>
                <w:szCs w:val="18"/>
              </w:rPr>
              <w:t>分）</w:t>
            </w:r>
          </w:p>
        </w:tc>
        <w:tc>
          <w:tcPr>
            <w:tcW w:w="1341" w:type="dxa"/>
            <w:vAlign w:val="center"/>
          </w:tcPr>
          <w:p>
            <w:pPr>
              <w:jc w:val="center"/>
              <w:rPr>
                <w:rFonts w:ascii="宋体"/>
                <w:b/>
                <w:bCs/>
                <w:sz w:val="22"/>
                <w:szCs w:val="18"/>
              </w:rPr>
            </w:pPr>
            <w:r>
              <w:rPr>
                <w:rFonts w:hint="eastAsia" w:ascii="宋体" w:hAnsi="宋体"/>
                <w:b/>
                <w:bCs/>
                <w:sz w:val="22"/>
                <w:szCs w:val="18"/>
              </w:rPr>
              <w:t>公司资质</w:t>
            </w:r>
          </w:p>
          <w:p>
            <w:pPr>
              <w:jc w:val="center"/>
              <w:rPr>
                <w:rFonts w:ascii="宋体"/>
                <w:b/>
                <w:bCs/>
                <w:sz w:val="22"/>
                <w:szCs w:val="18"/>
              </w:rPr>
            </w:pPr>
            <w:r>
              <w:rPr>
                <w:rFonts w:hint="eastAsia" w:ascii="宋体" w:hAnsi="宋体"/>
                <w:b/>
                <w:bCs/>
                <w:sz w:val="22"/>
                <w:szCs w:val="18"/>
              </w:rPr>
              <w:t>（</w:t>
            </w:r>
            <w:r>
              <w:rPr>
                <w:rFonts w:ascii="宋体" w:hAnsi="宋体"/>
                <w:b/>
                <w:bCs/>
                <w:sz w:val="22"/>
                <w:szCs w:val="18"/>
              </w:rPr>
              <w:t>24</w:t>
            </w:r>
            <w:r>
              <w:rPr>
                <w:rFonts w:hint="eastAsia" w:ascii="宋体" w:hAnsi="宋体"/>
                <w:b/>
                <w:bCs/>
                <w:sz w:val="22"/>
                <w:szCs w:val="18"/>
              </w:rPr>
              <w:t>分）</w:t>
            </w:r>
          </w:p>
        </w:tc>
        <w:tc>
          <w:tcPr>
            <w:tcW w:w="7199" w:type="dxa"/>
            <w:vAlign w:val="center"/>
          </w:tcPr>
          <w:p>
            <w:pPr>
              <w:pStyle w:val="2"/>
              <w:spacing w:afterLines="50" w:line="240" w:lineRule="auto"/>
              <w:ind w:firstLine="0"/>
              <w:rPr>
                <w:sz w:val="22"/>
                <w:szCs w:val="18"/>
              </w:rPr>
            </w:pPr>
            <w:r>
              <w:rPr>
                <w:sz w:val="22"/>
                <w:szCs w:val="18"/>
              </w:rPr>
              <w:t>1.</w:t>
            </w:r>
            <w:r>
              <w:rPr>
                <w:rFonts w:hint="eastAsia"/>
                <w:sz w:val="22"/>
                <w:szCs w:val="18"/>
              </w:rPr>
              <w:t>具有中国合格评定国家认可委员会（</w:t>
            </w:r>
            <w:r>
              <w:rPr>
                <w:sz w:val="22"/>
                <w:szCs w:val="18"/>
              </w:rPr>
              <w:t>CNAS</w:t>
            </w:r>
            <w:r>
              <w:rPr>
                <w:rFonts w:hint="eastAsia"/>
                <w:sz w:val="22"/>
                <w:szCs w:val="18"/>
              </w:rPr>
              <w:t>）检验机构认证证书得</w:t>
            </w:r>
            <w:r>
              <w:rPr>
                <w:sz w:val="22"/>
                <w:szCs w:val="18"/>
              </w:rPr>
              <w:t>6</w:t>
            </w:r>
            <w:r>
              <w:rPr>
                <w:rFonts w:hint="eastAsia"/>
                <w:sz w:val="22"/>
                <w:szCs w:val="18"/>
              </w:rPr>
              <w:t>分。</w:t>
            </w:r>
          </w:p>
          <w:p>
            <w:pPr>
              <w:pStyle w:val="2"/>
              <w:spacing w:afterLines="50" w:line="240" w:lineRule="auto"/>
              <w:ind w:firstLine="0"/>
              <w:rPr>
                <w:sz w:val="22"/>
                <w:szCs w:val="18"/>
              </w:rPr>
            </w:pPr>
            <w:r>
              <w:rPr>
                <w:sz w:val="22"/>
                <w:szCs w:val="18"/>
              </w:rPr>
              <w:t>2.2016</w:t>
            </w:r>
            <w:r>
              <w:rPr>
                <w:rFonts w:hint="eastAsia"/>
                <w:sz w:val="22"/>
                <w:szCs w:val="18"/>
              </w:rPr>
              <w:t>年至今，中国合格评定国家认可委员会</w:t>
            </w:r>
            <w:r>
              <w:rPr>
                <w:sz w:val="22"/>
                <w:szCs w:val="18"/>
              </w:rPr>
              <w:t>CNAS</w:t>
            </w:r>
            <w:r>
              <w:rPr>
                <w:rFonts w:hint="eastAsia"/>
                <w:sz w:val="22"/>
                <w:szCs w:val="18"/>
              </w:rPr>
              <w:t>的能力验证结果获得满意，得</w:t>
            </w:r>
            <w:r>
              <w:rPr>
                <w:sz w:val="22"/>
                <w:szCs w:val="18"/>
              </w:rPr>
              <w:t>6</w:t>
            </w:r>
            <w:r>
              <w:rPr>
                <w:rFonts w:hint="eastAsia"/>
                <w:sz w:val="22"/>
                <w:szCs w:val="18"/>
              </w:rPr>
              <w:t>分。</w:t>
            </w:r>
          </w:p>
          <w:p>
            <w:pPr>
              <w:pStyle w:val="2"/>
              <w:numPr>
                <w:ilvl w:val="0"/>
                <w:numId w:val="1"/>
              </w:numPr>
              <w:spacing w:afterLines="50" w:line="240" w:lineRule="auto"/>
              <w:ind w:firstLine="0"/>
              <w:rPr>
                <w:sz w:val="22"/>
                <w:szCs w:val="18"/>
              </w:rPr>
            </w:pPr>
            <w:r>
              <w:rPr>
                <w:rFonts w:hint="eastAsia"/>
                <w:sz w:val="22"/>
                <w:szCs w:val="18"/>
              </w:rPr>
              <w:t>具有</w:t>
            </w:r>
            <w:r>
              <w:rPr>
                <w:sz w:val="22"/>
                <w:szCs w:val="18"/>
              </w:rPr>
              <w:t>ISO9001</w:t>
            </w:r>
            <w:r>
              <w:rPr>
                <w:rFonts w:hint="eastAsia"/>
                <w:sz w:val="22"/>
                <w:szCs w:val="18"/>
              </w:rPr>
              <w:t>《质量管理体系认证证书》且认证范围含有信息安全等级保护测评的得</w:t>
            </w:r>
            <w:r>
              <w:rPr>
                <w:sz w:val="22"/>
                <w:szCs w:val="18"/>
              </w:rPr>
              <w:t>6</w:t>
            </w:r>
            <w:r>
              <w:rPr>
                <w:rFonts w:hint="eastAsia"/>
                <w:sz w:val="22"/>
                <w:szCs w:val="18"/>
              </w:rPr>
              <w:t>分。</w:t>
            </w:r>
          </w:p>
          <w:p>
            <w:pPr>
              <w:pStyle w:val="2"/>
              <w:numPr>
                <w:ilvl w:val="0"/>
                <w:numId w:val="1"/>
              </w:numPr>
              <w:spacing w:afterLines="50" w:line="240" w:lineRule="auto"/>
              <w:ind w:firstLine="0"/>
              <w:rPr>
                <w:sz w:val="22"/>
                <w:szCs w:val="18"/>
              </w:rPr>
            </w:pPr>
            <w:r>
              <w:rPr>
                <w:rFonts w:hint="eastAsia"/>
                <w:sz w:val="22"/>
                <w:szCs w:val="18"/>
              </w:rPr>
              <w:t>具有</w:t>
            </w:r>
            <w:r>
              <w:rPr>
                <w:sz w:val="22"/>
                <w:szCs w:val="18"/>
              </w:rPr>
              <w:t>ISO27001</w:t>
            </w:r>
            <w:r>
              <w:rPr>
                <w:rFonts w:hint="eastAsia"/>
                <w:sz w:val="22"/>
                <w:szCs w:val="18"/>
              </w:rPr>
              <w:t>《信息安全管理体系认证证书》且认证范围含含有信息安全等级保护测评的得</w:t>
            </w:r>
            <w:r>
              <w:rPr>
                <w:sz w:val="22"/>
                <w:szCs w:val="18"/>
              </w:rPr>
              <w:t>6</w:t>
            </w:r>
            <w:r>
              <w:rPr>
                <w:rFonts w:hint="eastAsia"/>
                <w:sz w:val="22"/>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0" w:type="dxa"/>
            <w:vMerge w:val="continue"/>
            <w:vAlign w:val="center"/>
          </w:tcPr>
          <w:p>
            <w:pPr>
              <w:rPr>
                <w:rFonts w:ascii="宋体"/>
                <w:bCs/>
                <w:sz w:val="22"/>
                <w:szCs w:val="18"/>
              </w:rPr>
            </w:pPr>
          </w:p>
        </w:tc>
        <w:tc>
          <w:tcPr>
            <w:tcW w:w="1341" w:type="dxa"/>
            <w:vAlign w:val="center"/>
          </w:tcPr>
          <w:p>
            <w:pPr>
              <w:pStyle w:val="2"/>
              <w:spacing w:line="240" w:lineRule="auto"/>
              <w:ind w:firstLine="0"/>
              <w:jc w:val="center"/>
              <w:rPr>
                <w:b/>
                <w:bCs/>
                <w:sz w:val="22"/>
                <w:szCs w:val="18"/>
              </w:rPr>
            </w:pPr>
            <w:r>
              <w:rPr>
                <w:rFonts w:hint="eastAsia"/>
                <w:b/>
                <w:bCs/>
                <w:sz w:val="22"/>
                <w:szCs w:val="18"/>
              </w:rPr>
              <w:t>团队实力</w:t>
            </w:r>
          </w:p>
          <w:p>
            <w:pPr>
              <w:pStyle w:val="2"/>
              <w:spacing w:line="240" w:lineRule="auto"/>
              <w:ind w:firstLine="0"/>
              <w:jc w:val="center"/>
              <w:rPr>
                <w:sz w:val="22"/>
                <w:szCs w:val="18"/>
              </w:rPr>
            </w:pPr>
            <w:r>
              <w:rPr>
                <w:rFonts w:hint="eastAsia"/>
                <w:b/>
                <w:bCs/>
                <w:sz w:val="22"/>
                <w:szCs w:val="18"/>
              </w:rPr>
              <w:t>（</w:t>
            </w:r>
            <w:r>
              <w:rPr>
                <w:b/>
                <w:bCs/>
                <w:sz w:val="22"/>
                <w:szCs w:val="18"/>
              </w:rPr>
              <w:t>26</w:t>
            </w:r>
            <w:r>
              <w:rPr>
                <w:rFonts w:hint="eastAsia"/>
                <w:b/>
                <w:bCs/>
                <w:sz w:val="22"/>
                <w:szCs w:val="18"/>
              </w:rPr>
              <w:t>分）</w:t>
            </w:r>
          </w:p>
        </w:tc>
        <w:tc>
          <w:tcPr>
            <w:tcW w:w="7199" w:type="dxa"/>
            <w:vAlign w:val="center"/>
          </w:tcPr>
          <w:p>
            <w:pPr>
              <w:pStyle w:val="2"/>
              <w:spacing w:afterLines="50" w:line="240" w:lineRule="auto"/>
              <w:ind w:firstLine="0"/>
              <w:rPr>
                <w:sz w:val="22"/>
                <w:szCs w:val="18"/>
              </w:rPr>
            </w:pPr>
            <w:r>
              <w:rPr>
                <w:sz w:val="22"/>
                <w:szCs w:val="18"/>
              </w:rPr>
              <w:t>1.</w:t>
            </w:r>
            <w:r>
              <w:rPr>
                <w:rFonts w:hint="eastAsia"/>
                <w:sz w:val="22"/>
                <w:szCs w:val="18"/>
              </w:rPr>
              <w:t>本次测评项目拟派测评师，提供测评师证书扫描件。此外，测评师具备</w:t>
            </w:r>
            <w:r>
              <w:fldChar w:fldCharType="begin"/>
            </w:r>
            <w:r>
              <w:instrText xml:space="preserve"> HYPERLINK "https://baike.baidu.com/item/%E4%B8%AD%E5%9B%BD%E4%BF%A1%E6%81%AF%E5%AE%89%E5%85%A8%E8%AE%A4%E8%AF%81%E4%B8%AD%E5%BF%83" \t "https://baike.baidu.com/item/CISAW/_blank" </w:instrText>
            </w:r>
            <w:r>
              <w:fldChar w:fldCharType="separate"/>
            </w:r>
            <w:r>
              <w:rPr>
                <w:rFonts w:hint="eastAsia"/>
                <w:sz w:val="22"/>
                <w:szCs w:val="18"/>
              </w:rPr>
              <w:t>中国网络安全审查技术与认证中心</w:t>
            </w:r>
            <w:r>
              <w:rPr>
                <w:rFonts w:hint="eastAsia"/>
                <w:sz w:val="22"/>
                <w:szCs w:val="18"/>
              </w:rPr>
              <w:fldChar w:fldCharType="end"/>
            </w:r>
            <w:r>
              <w:rPr>
                <w:sz w:val="22"/>
                <w:szCs w:val="18"/>
              </w:rPr>
              <w:t>CISAW</w:t>
            </w:r>
            <w:r>
              <w:rPr>
                <w:rFonts w:hint="eastAsia"/>
                <w:sz w:val="22"/>
                <w:szCs w:val="18"/>
              </w:rPr>
              <w:t>证书的每个人得</w:t>
            </w:r>
            <w:r>
              <w:rPr>
                <w:sz w:val="22"/>
                <w:szCs w:val="18"/>
              </w:rPr>
              <w:t>1</w:t>
            </w:r>
            <w:r>
              <w:rPr>
                <w:rFonts w:hint="eastAsia"/>
                <w:sz w:val="22"/>
                <w:szCs w:val="18"/>
              </w:rPr>
              <w:t>分，最高得</w:t>
            </w:r>
            <w:r>
              <w:rPr>
                <w:sz w:val="22"/>
                <w:szCs w:val="18"/>
              </w:rPr>
              <w:t>6</w:t>
            </w:r>
            <w:r>
              <w:rPr>
                <w:rFonts w:hint="eastAsia"/>
                <w:sz w:val="22"/>
                <w:szCs w:val="18"/>
              </w:rPr>
              <w:t>分。</w:t>
            </w:r>
          </w:p>
          <w:p>
            <w:pPr>
              <w:pStyle w:val="2"/>
              <w:spacing w:line="240" w:lineRule="auto"/>
              <w:ind w:firstLine="0"/>
              <w:rPr>
                <w:sz w:val="22"/>
                <w:szCs w:val="18"/>
              </w:rPr>
            </w:pPr>
            <w:r>
              <w:rPr>
                <w:sz w:val="22"/>
                <w:szCs w:val="18"/>
              </w:rPr>
              <w:t>2.</w:t>
            </w:r>
            <w:r>
              <w:rPr>
                <w:rFonts w:hint="eastAsia"/>
                <w:sz w:val="22"/>
                <w:szCs w:val="18"/>
              </w:rPr>
              <w:t>承担本次项目的项目负责人（唯一）具备以下资质：</w:t>
            </w:r>
          </w:p>
          <w:p>
            <w:pPr>
              <w:pStyle w:val="2"/>
              <w:numPr>
                <w:ilvl w:val="0"/>
                <w:numId w:val="2"/>
              </w:numPr>
              <w:spacing w:line="240" w:lineRule="auto"/>
              <w:ind w:firstLine="0"/>
              <w:jc w:val="left"/>
              <w:rPr>
                <w:sz w:val="22"/>
                <w:szCs w:val="18"/>
              </w:rPr>
            </w:pPr>
            <w:r>
              <w:rPr>
                <w:rFonts w:hint="eastAsia"/>
                <w:sz w:val="22"/>
                <w:szCs w:val="18"/>
              </w:rPr>
              <w:t>等保高级测评师证书得</w:t>
            </w:r>
            <w:r>
              <w:rPr>
                <w:sz w:val="22"/>
                <w:szCs w:val="18"/>
              </w:rPr>
              <w:t>5</w:t>
            </w:r>
            <w:r>
              <w:rPr>
                <w:rFonts w:hint="eastAsia"/>
                <w:sz w:val="22"/>
                <w:szCs w:val="18"/>
              </w:rPr>
              <w:t>分</w:t>
            </w:r>
          </w:p>
          <w:p>
            <w:pPr>
              <w:pStyle w:val="2"/>
              <w:numPr>
                <w:ilvl w:val="0"/>
                <w:numId w:val="2"/>
              </w:numPr>
              <w:spacing w:line="240" w:lineRule="auto"/>
              <w:ind w:firstLine="0"/>
              <w:jc w:val="left"/>
              <w:rPr>
                <w:sz w:val="22"/>
                <w:szCs w:val="18"/>
              </w:rPr>
            </w:pPr>
            <w:r>
              <w:rPr>
                <w:rFonts w:hint="eastAsia"/>
                <w:sz w:val="22"/>
                <w:szCs w:val="18"/>
              </w:rPr>
              <w:t>重要信息系统安全等级保护培训证书（</w:t>
            </w:r>
            <w:r>
              <w:rPr>
                <w:sz w:val="22"/>
                <w:szCs w:val="18"/>
              </w:rPr>
              <w:t>CIIP-T</w:t>
            </w:r>
            <w:r>
              <w:rPr>
                <w:rFonts w:hint="eastAsia"/>
                <w:sz w:val="22"/>
                <w:szCs w:val="18"/>
              </w:rPr>
              <w:t>）证书得</w:t>
            </w:r>
            <w:r>
              <w:rPr>
                <w:sz w:val="22"/>
                <w:szCs w:val="18"/>
              </w:rPr>
              <w:t>5</w:t>
            </w:r>
            <w:r>
              <w:rPr>
                <w:rFonts w:hint="eastAsia"/>
                <w:sz w:val="22"/>
                <w:szCs w:val="18"/>
              </w:rPr>
              <w:t>分</w:t>
            </w:r>
          </w:p>
          <w:p>
            <w:pPr>
              <w:pStyle w:val="2"/>
              <w:numPr>
                <w:ilvl w:val="0"/>
                <w:numId w:val="2"/>
              </w:numPr>
              <w:spacing w:line="240" w:lineRule="auto"/>
              <w:ind w:firstLine="0"/>
              <w:jc w:val="left"/>
              <w:rPr>
                <w:sz w:val="22"/>
                <w:szCs w:val="18"/>
              </w:rPr>
            </w:pPr>
            <w:r>
              <w:rPr>
                <w:rFonts w:hint="eastAsia"/>
                <w:sz w:val="22"/>
                <w:szCs w:val="18"/>
              </w:rPr>
              <w:t>注册信息安全工程师（</w:t>
            </w:r>
            <w:r>
              <w:rPr>
                <w:sz w:val="22"/>
                <w:szCs w:val="18"/>
              </w:rPr>
              <w:t>CISP</w:t>
            </w:r>
            <w:r>
              <w:rPr>
                <w:rFonts w:hint="eastAsia"/>
                <w:sz w:val="22"/>
                <w:szCs w:val="18"/>
              </w:rPr>
              <w:t>）证书得</w:t>
            </w:r>
            <w:r>
              <w:rPr>
                <w:sz w:val="22"/>
                <w:szCs w:val="18"/>
              </w:rPr>
              <w:t>5</w:t>
            </w:r>
            <w:r>
              <w:rPr>
                <w:rFonts w:hint="eastAsia"/>
                <w:sz w:val="22"/>
                <w:szCs w:val="18"/>
              </w:rPr>
              <w:t>分</w:t>
            </w:r>
          </w:p>
          <w:p>
            <w:pPr>
              <w:pStyle w:val="2"/>
              <w:numPr>
                <w:ilvl w:val="0"/>
                <w:numId w:val="2"/>
              </w:numPr>
              <w:spacing w:line="240" w:lineRule="auto"/>
              <w:ind w:firstLine="0"/>
              <w:jc w:val="left"/>
              <w:rPr>
                <w:sz w:val="22"/>
                <w:szCs w:val="18"/>
              </w:rPr>
            </w:pPr>
            <w:r>
              <w:rPr>
                <w:sz w:val="22"/>
                <w:szCs w:val="18"/>
              </w:rPr>
              <w:t>(ISC)</w:t>
            </w:r>
            <w:r>
              <w:rPr>
                <w:rFonts w:hint="eastAsia" w:cs="Calibri"/>
                <w:sz w:val="22"/>
                <w:szCs w:val="18"/>
              </w:rPr>
              <w:t>²</w:t>
            </w:r>
            <w:r>
              <w:rPr>
                <w:rFonts w:hint="eastAsia" w:cs="仿宋"/>
                <w:sz w:val="22"/>
                <w:szCs w:val="18"/>
              </w:rPr>
              <w:t>注册信息系统安全专家（</w:t>
            </w:r>
            <w:r>
              <w:rPr>
                <w:sz w:val="22"/>
                <w:szCs w:val="18"/>
              </w:rPr>
              <w:t>CISSP</w:t>
            </w:r>
            <w:r>
              <w:rPr>
                <w:rFonts w:hint="eastAsia"/>
                <w:sz w:val="22"/>
                <w:szCs w:val="18"/>
              </w:rPr>
              <w:t>）证书得</w:t>
            </w:r>
            <w:r>
              <w:rPr>
                <w:sz w:val="22"/>
                <w:szCs w:val="18"/>
              </w:rPr>
              <w:t>5</w:t>
            </w:r>
            <w:r>
              <w:rPr>
                <w:rFonts w:hint="eastAsia"/>
                <w:sz w:val="22"/>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0" w:type="dxa"/>
            <w:vMerge w:val="continue"/>
            <w:vAlign w:val="center"/>
          </w:tcPr>
          <w:p>
            <w:pPr>
              <w:rPr>
                <w:rFonts w:ascii="宋体"/>
                <w:bCs/>
                <w:sz w:val="22"/>
                <w:szCs w:val="18"/>
              </w:rPr>
            </w:pPr>
          </w:p>
        </w:tc>
        <w:tc>
          <w:tcPr>
            <w:tcW w:w="1341" w:type="dxa"/>
            <w:vAlign w:val="center"/>
          </w:tcPr>
          <w:p>
            <w:pPr>
              <w:jc w:val="center"/>
              <w:rPr>
                <w:rFonts w:ascii="宋体" w:cs="宋体"/>
                <w:b/>
                <w:sz w:val="22"/>
                <w:szCs w:val="18"/>
              </w:rPr>
            </w:pPr>
            <w:r>
              <w:rPr>
                <w:rFonts w:hint="eastAsia" w:ascii="宋体" w:hAnsi="宋体" w:cs="宋体"/>
                <w:b/>
                <w:sz w:val="22"/>
                <w:szCs w:val="18"/>
              </w:rPr>
              <w:t>服务能力</w:t>
            </w:r>
          </w:p>
          <w:p>
            <w:pPr>
              <w:jc w:val="center"/>
              <w:rPr>
                <w:rFonts w:ascii="宋体" w:cs="宋体"/>
                <w:b/>
                <w:sz w:val="22"/>
                <w:szCs w:val="18"/>
              </w:rPr>
            </w:pPr>
            <w:r>
              <w:rPr>
                <w:rFonts w:hint="eastAsia" w:ascii="宋体" w:hAnsi="宋体" w:cs="宋体"/>
                <w:b/>
                <w:sz w:val="22"/>
                <w:szCs w:val="18"/>
              </w:rPr>
              <w:t>（</w:t>
            </w:r>
            <w:r>
              <w:rPr>
                <w:rFonts w:ascii="宋体" w:hAnsi="宋体" w:cs="宋体"/>
                <w:b/>
                <w:sz w:val="22"/>
                <w:szCs w:val="18"/>
              </w:rPr>
              <w:t>10</w:t>
            </w:r>
            <w:r>
              <w:rPr>
                <w:rFonts w:hint="eastAsia" w:ascii="宋体" w:hAnsi="宋体" w:cs="宋体"/>
                <w:b/>
                <w:sz w:val="22"/>
                <w:szCs w:val="18"/>
              </w:rPr>
              <w:t>分）</w:t>
            </w:r>
          </w:p>
        </w:tc>
        <w:tc>
          <w:tcPr>
            <w:tcW w:w="7199" w:type="dxa"/>
            <w:vAlign w:val="center"/>
          </w:tcPr>
          <w:p>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afterLines="50" w:line="240" w:lineRule="auto"/>
              <w:textAlignment w:val="auto"/>
              <w:rPr>
                <w:rFonts w:ascii="宋体" w:cs="宋体"/>
                <w:bCs/>
                <w:color w:val="262626"/>
                <w:sz w:val="22"/>
                <w:szCs w:val="18"/>
              </w:rPr>
            </w:pPr>
            <w:r>
              <w:rPr>
                <w:rFonts w:ascii="宋体" w:hAnsi="宋体" w:cs="宋体"/>
                <w:bCs/>
                <w:color w:val="262626"/>
                <w:sz w:val="22"/>
                <w:szCs w:val="18"/>
              </w:rPr>
              <w:t>1.</w:t>
            </w:r>
            <w:r>
              <w:rPr>
                <w:rFonts w:hint="eastAsia" w:ascii="宋体" w:hAnsi="宋体" w:cs="宋体"/>
                <w:bCs/>
                <w:color w:val="262626"/>
                <w:sz w:val="22"/>
                <w:szCs w:val="18"/>
              </w:rPr>
              <w:t>本次拟派测评师满足采购需求中最低人员配置（至少</w:t>
            </w:r>
            <w:r>
              <w:rPr>
                <w:rFonts w:ascii="宋体" w:hAnsi="宋体" w:cs="宋体"/>
                <w:bCs/>
                <w:color w:val="262626"/>
                <w:sz w:val="22"/>
                <w:szCs w:val="18"/>
              </w:rPr>
              <w:t>1</w:t>
            </w:r>
            <w:r>
              <w:rPr>
                <w:rFonts w:hint="eastAsia" w:ascii="宋体" w:hAnsi="宋体" w:cs="宋体"/>
                <w:bCs/>
                <w:color w:val="262626"/>
                <w:sz w:val="22"/>
                <w:szCs w:val="18"/>
              </w:rPr>
              <w:t>名高级测评师，</w:t>
            </w:r>
            <w:r>
              <w:rPr>
                <w:rFonts w:ascii="宋体" w:hAnsi="宋体" w:cs="宋体"/>
                <w:bCs/>
                <w:color w:val="262626"/>
                <w:sz w:val="22"/>
                <w:szCs w:val="18"/>
              </w:rPr>
              <w:t>1</w:t>
            </w:r>
            <w:r>
              <w:rPr>
                <w:rFonts w:hint="eastAsia" w:ascii="宋体" w:hAnsi="宋体" w:cs="宋体"/>
                <w:bCs/>
                <w:color w:val="262626"/>
                <w:sz w:val="22"/>
                <w:szCs w:val="18"/>
              </w:rPr>
              <w:t>名中级测评师，</w:t>
            </w:r>
            <w:r>
              <w:rPr>
                <w:rFonts w:ascii="宋体" w:hAnsi="宋体" w:cs="宋体"/>
                <w:bCs/>
                <w:color w:val="262626"/>
                <w:sz w:val="22"/>
                <w:szCs w:val="18"/>
              </w:rPr>
              <w:t>2</w:t>
            </w:r>
            <w:r>
              <w:rPr>
                <w:rFonts w:hint="eastAsia" w:ascii="宋体" w:hAnsi="宋体" w:cs="宋体"/>
                <w:bCs/>
                <w:color w:val="262626"/>
                <w:sz w:val="22"/>
                <w:szCs w:val="18"/>
              </w:rPr>
              <w:t>名初级测评师）的情况下，另外每增加一位测评师得</w:t>
            </w:r>
            <w:r>
              <w:rPr>
                <w:rFonts w:ascii="宋体" w:hAnsi="宋体" w:cs="宋体"/>
                <w:bCs/>
                <w:color w:val="262626"/>
                <w:sz w:val="22"/>
                <w:szCs w:val="18"/>
              </w:rPr>
              <w:t>2</w:t>
            </w:r>
            <w:r>
              <w:rPr>
                <w:rFonts w:hint="eastAsia" w:ascii="宋体" w:hAnsi="宋体" w:cs="宋体"/>
                <w:bCs/>
                <w:color w:val="262626"/>
                <w:sz w:val="22"/>
                <w:szCs w:val="18"/>
              </w:rPr>
              <w:t>分，最多得</w:t>
            </w:r>
            <w:r>
              <w:rPr>
                <w:rFonts w:ascii="宋体" w:hAnsi="宋体" w:cs="宋体"/>
                <w:bCs/>
                <w:color w:val="262626"/>
                <w:sz w:val="22"/>
                <w:szCs w:val="18"/>
              </w:rPr>
              <w:t>4</w:t>
            </w:r>
            <w:r>
              <w:rPr>
                <w:rFonts w:hint="eastAsia" w:ascii="宋体" w:hAnsi="宋体" w:cs="宋体"/>
                <w:bCs/>
                <w:color w:val="262626"/>
                <w:sz w:val="22"/>
                <w:szCs w:val="18"/>
              </w:rPr>
              <w:t>分。（提供本项目拟派测评师名单、联系电话、岗位职责、资质证书，及投标单位为其缴纳社保的近三个月的证明。）</w:t>
            </w:r>
          </w:p>
          <w:p>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afterLines="50" w:line="240" w:lineRule="auto"/>
              <w:textAlignment w:val="auto"/>
              <w:rPr>
                <w:rFonts w:ascii="宋体"/>
                <w:sz w:val="22"/>
                <w:szCs w:val="18"/>
              </w:rPr>
            </w:pPr>
            <w:r>
              <w:rPr>
                <w:rFonts w:ascii="宋体" w:hAnsi="宋体" w:cs="宋体"/>
                <w:bCs/>
                <w:color w:val="262626"/>
                <w:sz w:val="22"/>
                <w:szCs w:val="18"/>
              </w:rPr>
              <w:t>2.</w:t>
            </w:r>
            <w:r>
              <w:rPr>
                <w:rFonts w:hint="eastAsia" w:ascii="宋体" w:hAnsi="宋体" w:cs="宋体"/>
                <w:bCs/>
                <w:color w:val="262626"/>
                <w:sz w:val="22"/>
                <w:szCs w:val="18"/>
              </w:rPr>
              <w:t>测评机构在测评合同期限内，需向采购单位提供应急响应技术支撑服务。紧急情况下，到达现场应急响应的时效性评估，</w:t>
            </w:r>
            <w:r>
              <w:rPr>
                <w:rFonts w:ascii="宋体" w:hAnsi="宋体" w:cs="宋体"/>
                <w:bCs/>
                <w:color w:val="262626"/>
                <w:sz w:val="22"/>
                <w:szCs w:val="18"/>
              </w:rPr>
              <w:t>1</w:t>
            </w:r>
            <w:r>
              <w:rPr>
                <w:rFonts w:hint="eastAsia" w:ascii="宋体" w:hAnsi="宋体" w:cs="宋体"/>
                <w:bCs/>
                <w:color w:val="262626"/>
                <w:sz w:val="22"/>
                <w:szCs w:val="18"/>
              </w:rPr>
              <w:t>小时内到场响应且响应时间最快的得</w:t>
            </w:r>
            <w:r>
              <w:rPr>
                <w:rFonts w:ascii="宋体" w:hAnsi="宋体" w:cs="宋体"/>
                <w:bCs/>
                <w:color w:val="262626"/>
                <w:sz w:val="22"/>
                <w:szCs w:val="18"/>
              </w:rPr>
              <w:t>6</w:t>
            </w:r>
            <w:r>
              <w:rPr>
                <w:rFonts w:hint="eastAsia" w:ascii="宋体" w:hAnsi="宋体" w:cs="宋体"/>
                <w:bCs/>
                <w:color w:val="262626"/>
                <w:sz w:val="22"/>
                <w:szCs w:val="18"/>
              </w:rPr>
              <w:t>分，</w:t>
            </w:r>
            <w:r>
              <w:rPr>
                <w:rFonts w:ascii="宋体" w:hAnsi="宋体" w:cs="宋体"/>
                <w:bCs/>
                <w:color w:val="262626"/>
                <w:sz w:val="22"/>
                <w:szCs w:val="18"/>
              </w:rPr>
              <w:t>2</w:t>
            </w:r>
            <w:r>
              <w:rPr>
                <w:rFonts w:hint="eastAsia" w:ascii="宋体" w:hAnsi="宋体" w:cs="宋体"/>
                <w:bCs/>
                <w:color w:val="262626"/>
                <w:sz w:val="22"/>
                <w:szCs w:val="18"/>
              </w:rPr>
              <w:t>小时内（不含</w:t>
            </w:r>
            <w:r>
              <w:rPr>
                <w:rFonts w:ascii="宋体" w:hAnsi="宋体" w:cs="宋体"/>
                <w:bCs/>
                <w:color w:val="262626"/>
                <w:sz w:val="22"/>
                <w:szCs w:val="18"/>
              </w:rPr>
              <w:t>2</w:t>
            </w:r>
            <w:r>
              <w:rPr>
                <w:rFonts w:hint="eastAsia" w:ascii="宋体" w:hAnsi="宋体" w:cs="宋体"/>
                <w:bCs/>
                <w:color w:val="262626"/>
                <w:sz w:val="22"/>
                <w:szCs w:val="18"/>
              </w:rPr>
              <w:t>小时）到场响应的得</w:t>
            </w:r>
            <w:r>
              <w:rPr>
                <w:rFonts w:ascii="宋体" w:hAnsi="宋体" w:cs="宋体"/>
                <w:bCs/>
                <w:color w:val="262626"/>
                <w:sz w:val="22"/>
                <w:szCs w:val="18"/>
              </w:rPr>
              <w:t>4</w:t>
            </w:r>
            <w:r>
              <w:rPr>
                <w:rFonts w:hint="eastAsia" w:ascii="宋体" w:hAnsi="宋体" w:cs="宋体"/>
                <w:bCs/>
                <w:color w:val="262626"/>
                <w:sz w:val="22"/>
                <w:szCs w:val="18"/>
              </w:rPr>
              <w:t>分，</w:t>
            </w:r>
            <w:r>
              <w:rPr>
                <w:rFonts w:ascii="宋体" w:hAnsi="宋体" w:cs="宋体"/>
                <w:bCs/>
                <w:color w:val="262626"/>
                <w:sz w:val="22"/>
                <w:szCs w:val="18"/>
              </w:rPr>
              <w:t>2</w:t>
            </w:r>
            <w:r>
              <w:rPr>
                <w:rFonts w:hint="eastAsia" w:ascii="宋体" w:hAnsi="宋体" w:cs="宋体"/>
                <w:bCs/>
                <w:color w:val="262626"/>
                <w:sz w:val="22"/>
                <w:szCs w:val="18"/>
              </w:rPr>
              <w:t>小时</w:t>
            </w:r>
            <w:r>
              <w:rPr>
                <w:rFonts w:ascii="宋体" w:hAnsi="宋体" w:cs="宋体"/>
                <w:bCs/>
                <w:color w:val="262626"/>
                <w:sz w:val="22"/>
                <w:szCs w:val="18"/>
              </w:rPr>
              <w:t>——4</w:t>
            </w:r>
            <w:r>
              <w:rPr>
                <w:rFonts w:hint="eastAsia" w:ascii="宋体" w:hAnsi="宋体" w:cs="宋体"/>
                <w:bCs/>
                <w:color w:val="262626"/>
                <w:sz w:val="22"/>
                <w:szCs w:val="18"/>
              </w:rPr>
              <w:t>小时到场响应的得</w:t>
            </w:r>
            <w:r>
              <w:rPr>
                <w:rFonts w:ascii="宋体" w:hAnsi="宋体" w:cs="宋体"/>
                <w:bCs/>
                <w:color w:val="262626"/>
                <w:sz w:val="22"/>
                <w:szCs w:val="18"/>
              </w:rPr>
              <w:t>2</w:t>
            </w:r>
            <w:r>
              <w:rPr>
                <w:rFonts w:hint="eastAsia" w:ascii="宋体" w:hAnsi="宋体" w:cs="宋体"/>
                <w:bCs/>
                <w:color w:val="262626"/>
                <w:sz w:val="22"/>
                <w:szCs w:val="18"/>
              </w:rPr>
              <w:t>分，响应时间超过</w:t>
            </w:r>
            <w:r>
              <w:rPr>
                <w:rFonts w:ascii="宋体" w:hAnsi="宋体" w:cs="宋体"/>
                <w:bCs/>
                <w:color w:val="262626"/>
                <w:sz w:val="22"/>
                <w:szCs w:val="18"/>
              </w:rPr>
              <w:t>4</w:t>
            </w:r>
            <w:r>
              <w:rPr>
                <w:rFonts w:hint="eastAsia" w:ascii="宋体" w:hAnsi="宋体" w:cs="宋体"/>
                <w:bCs/>
                <w:color w:val="262626"/>
                <w:sz w:val="22"/>
                <w:szCs w:val="18"/>
              </w:rPr>
              <w:t>小时不得分。（响应时间以百度地图（</w:t>
            </w:r>
            <w:r>
              <w:rPr>
                <w:rFonts w:ascii="宋体" w:hAnsi="宋体" w:cs="宋体"/>
                <w:bCs/>
                <w:color w:val="262626"/>
                <w:sz w:val="22"/>
                <w:szCs w:val="18"/>
              </w:rPr>
              <w:t>map.baidu.com</w:t>
            </w:r>
            <w:r>
              <w:rPr>
                <w:rFonts w:hint="eastAsia" w:ascii="宋体" w:hAnsi="宋体" w:cs="宋体"/>
                <w:bCs/>
                <w:color w:val="262626"/>
                <w:sz w:val="22"/>
                <w:szCs w:val="18"/>
              </w:rPr>
              <w:t>）截图为准。“起点”以投标企业营业执照中“住所”地址为准。）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340" w:type="dxa"/>
            <w:vMerge w:val="continue"/>
            <w:vAlign w:val="center"/>
          </w:tcPr>
          <w:p>
            <w:pPr>
              <w:rPr>
                <w:rFonts w:ascii="宋体"/>
                <w:bCs/>
                <w:sz w:val="22"/>
                <w:szCs w:val="18"/>
              </w:rPr>
            </w:pPr>
          </w:p>
        </w:tc>
        <w:tc>
          <w:tcPr>
            <w:tcW w:w="1341" w:type="dxa"/>
            <w:vAlign w:val="center"/>
          </w:tcPr>
          <w:p>
            <w:pPr>
              <w:jc w:val="center"/>
              <w:rPr>
                <w:rFonts w:ascii="宋体" w:cs="宋体"/>
                <w:b/>
                <w:sz w:val="22"/>
                <w:szCs w:val="18"/>
              </w:rPr>
            </w:pPr>
            <w:r>
              <w:rPr>
                <w:rFonts w:hint="eastAsia" w:ascii="宋体" w:hAnsi="宋体" w:cs="宋体"/>
                <w:b/>
                <w:sz w:val="22"/>
                <w:szCs w:val="18"/>
              </w:rPr>
              <w:t>成功案例</w:t>
            </w:r>
          </w:p>
          <w:p>
            <w:pPr>
              <w:jc w:val="center"/>
              <w:rPr>
                <w:rFonts w:ascii="宋体"/>
                <w:bCs/>
                <w:color w:val="0D0D0D"/>
                <w:sz w:val="22"/>
                <w:szCs w:val="18"/>
              </w:rPr>
            </w:pPr>
            <w:r>
              <w:rPr>
                <w:rFonts w:hint="eastAsia" w:ascii="宋体" w:hAnsi="宋体" w:cs="宋体"/>
                <w:b/>
                <w:sz w:val="22"/>
                <w:szCs w:val="18"/>
              </w:rPr>
              <w:t>（</w:t>
            </w:r>
            <w:r>
              <w:rPr>
                <w:rFonts w:ascii="宋体" w:hAnsi="宋体" w:cs="宋体"/>
                <w:b/>
                <w:sz w:val="22"/>
                <w:szCs w:val="18"/>
              </w:rPr>
              <w:t>10</w:t>
            </w:r>
            <w:r>
              <w:rPr>
                <w:rFonts w:hint="eastAsia" w:ascii="宋体" w:hAnsi="宋体" w:cs="宋体"/>
                <w:b/>
                <w:sz w:val="22"/>
                <w:szCs w:val="18"/>
              </w:rPr>
              <w:t>分）</w:t>
            </w:r>
          </w:p>
        </w:tc>
        <w:tc>
          <w:tcPr>
            <w:tcW w:w="7199" w:type="dxa"/>
            <w:vAlign w:val="center"/>
          </w:tcPr>
          <w:p>
            <w:pPr>
              <w:pStyle w:val="2"/>
              <w:spacing w:afterLines="50" w:line="240" w:lineRule="auto"/>
              <w:ind w:firstLine="0"/>
              <w:rPr>
                <w:b/>
                <w:color w:val="0D0D0D"/>
                <w:sz w:val="22"/>
                <w:szCs w:val="18"/>
              </w:rPr>
            </w:pPr>
            <w:r>
              <w:rPr>
                <w:rFonts w:hint="eastAsia"/>
                <w:sz w:val="22"/>
                <w:szCs w:val="18"/>
              </w:rPr>
              <w:t>近两年等保测评案例合同，每个案例得</w:t>
            </w:r>
            <w:r>
              <w:rPr>
                <w:sz w:val="22"/>
                <w:szCs w:val="18"/>
              </w:rPr>
              <w:t>2</w:t>
            </w:r>
            <w:r>
              <w:rPr>
                <w:rFonts w:hint="eastAsia"/>
                <w:sz w:val="22"/>
                <w:szCs w:val="18"/>
              </w:rPr>
              <w:t>分，最高得</w:t>
            </w:r>
            <w:r>
              <w:rPr>
                <w:sz w:val="22"/>
                <w:szCs w:val="18"/>
              </w:rPr>
              <w:t>10</w:t>
            </w:r>
            <w:r>
              <w:rPr>
                <w:rFonts w:hint="eastAsia"/>
                <w:sz w:val="22"/>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40" w:type="dxa"/>
            <w:vAlign w:val="center"/>
          </w:tcPr>
          <w:p>
            <w:pPr>
              <w:ind w:firstLine="221" w:firstLineChars="100"/>
              <w:rPr>
                <w:rFonts w:ascii="宋体"/>
                <w:b/>
                <w:bCs/>
                <w:sz w:val="22"/>
                <w:szCs w:val="18"/>
              </w:rPr>
            </w:pPr>
            <w:r>
              <w:rPr>
                <w:rFonts w:hint="eastAsia" w:ascii="宋体" w:hAnsi="宋体"/>
                <w:b/>
                <w:bCs/>
                <w:sz w:val="22"/>
                <w:szCs w:val="18"/>
              </w:rPr>
              <w:t>价格分</w:t>
            </w:r>
          </w:p>
          <w:p>
            <w:pPr>
              <w:ind w:firstLine="110" w:firstLineChars="50"/>
              <w:rPr>
                <w:rFonts w:ascii="宋体"/>
                <w:bCs/>
                <w:sz w:val="22"/>
                <w:szCs w:val="18"/>
              </w:rPr>
            </w:pPr>
            <w:r>
              <w:rPr>
                <w:rFonts w:hint="eastAsia" w:ascii="宋体" w:hAnsi="宋体"/>
                <w:b/>
                <w:bCs/>
                <w:sz w:val="22"/>
                <w:szCs w:val="18"/>
              </w:rPr>
              <w:t>（</w:t>
            </w:r>
            <w:r>
              <w:rPr>
                <w:rFonts w:ascii="宋体" w:hAnsi="宋体"/>
                <w:b/>
                <w:bCs/>
                <w:sz w:val="22"/>
                <w:szCs w:val="18"/>
              </w:rPr>
              <w:t>30</w:t>
            </w:r>
            <w:r>
              <w:rPr>
                <w:rFonts w:hint="eastAsia" w:ascii="宋体" w:hAnsi="宋体"/>
                <w:b/>
                <w:bCs/>
                <w:sz w:val="22"/>
                <w:szCs w:val="18"/>
              </w:rPr>
              <w:t>分）</w:t>
            </w:r>
          </w:p>
        </w:tc>
        <w:tc>
          <w:tcPr>
            <w:tcW w:w="1341" w:type="dxa"/>
            <w:vAlign w:val="center"/>
          </w:tcPr>
          <w:p>
            <w:pPr>
              <w:jc w:val="center"/>
              <w:rPr>
                <w:rFonts w:ascii="宋体"/>
                <w:b/>
                <w:bCs/>
                <w:sz w:val="22"/>
                <w:szCs w:val="18"/>
              </w:rPr>
            </w:pPr>
            <w:r>
              <w:rPr>
                <w:rFonts w:hint="eastAsia" w:ascii="宋体" w:hAnsi="宋体"/>
                <w:b/>
                <w:bCs/>
                <w:sz w:val="22"/>
                <w:szCs w:val="18"/>
              </w:rPr>
              <w:t>磋商基准价</w:t>
            </w:r>
          </w:p>
        </w:tc>
        <w:tc>
          <w:tcPr>
            <w:tcW w:w="7199" w:type="dxa"/>
            <w:vAlign w:val="center"/>
          </w:tcPr>
          <w:p>
            <w:pPr>
              <w:pStyle w:val="2"/>
              <w:spacing w:afterLines="50" w:line="240" w:lineRule="auto"/>
              <w:ind w:firstLine="0"/>
              <w:rPr>
                <w:b/>
                <w:bCs/>
                <w:sz w:val="22"/>
                <w:szCs w:val="18"/>
              </w:rPr>
            </w:pPr>
            <w:r>
              <w:rPr>
                <w:rFonts w:hint="eastAsia"/>
                <w:b/>
                <w:bCs/>
                <w:sz w:val="22"/>
                <w:szCs w:val="18"/>
              </w:rPr>
              <w:t>符合资格的供应商接受评审小组的磋商，磋商结束后要求所有实质性响应的供应商在规定时间内提交最终报价。</w:t>
            </w:r>
          </w:p>
          <w:p>
            <w:pPr>
              <w:pStyle w:val="2"/>
              <w:spacing w:afterLines="50" w:line="240" w:lineRule="auto"/>
              <w:ind w:firstLine="0"/>
              <w:rPr>
                <w:sz w:val="22"/>
                <w:szCs w:val="18"/>
              </w:rPr>
            </w:pPr>
            <w:r>
              <w:rPr>
                <w:rFonts w:hint="eastAsia"/>
                <w:sz w:val="22"/>
                <w:szCs w:val="18"/>
              </w:rPr>
              <w:t>价格分统一采用低价优先法计算，即满足招标文件要求且投标价格最低的投标报价为评标基准价，其价格分为满分。其他投标人的价格分统一按照下列公式计算：投标报价得分</w:t>
            </w:r>
            <w:r>
              <w:rPr>
                <w:sz w:val="22"/>
                <w:szCs w:val="18"/>
              </w:rPr>
              <w:t>=</w:t>
            </w:r>
            <w:r>
              <w:rPr>
                <w:rFonts w:hint="eastAsia"/>
                <w:sz w:val="22"/>
                <w:szCs w:val="18"/>
              </w:rPr>
              <w:t>（评标基准价</w:t>
            </w:r>
            <w:r>
              <w:rPr>
                <w:sz w:val="22"/>
                <w:szCs w:val="18"/>
              </w:rPr>
              <w:t>/</w:t>
            </w:r>
            <w:r>
              <w:rPr>
                <w:rFonts w:hint="eastAsia"/>
                <w:sz w:val="22"/>
                <w:szCs w:val="18"/>
              </w:rPr>
              <w:t>投标报价）</w:t>
            </w:r>
            <w:r>
              <w:rPr>
                <w:sz w:val="22"/>
                <w:szCs w:val="18"/>
              </w:rPr>
              <w:t>*30</w:t>
            </w:r>
          </w:p>
        </w:tc>
      </w:tr>
    </w:tbl>
    <w:p>
      <w:pPr>
        <w:pStyle w:val="2"/>
      </w:pPr>
    </w:p>
    <w:p>
      <w:pPr>
        <w:pStyle w:val="2"/>
      </w:pPr>
    </w:p>
    <w:p>
      <w:pPr>
        <w:pStyle w:val="2"/>
      </w:pPr>
    </w:p>
    <w:p>
      <w:pPr>
        <w:spacing w:before="240" w:after="240" w:line="360" w:lineRule="auto"/>
        <w:jc w:val="center"/>
        <w:rPr>
          <w:rFonts w:ascii="宋体" w:cs="仿宋"/>
        </w:rPr>
      </w:pPr>
      <w:r>
        <w:rPr>
          <w:rFonts w:ascii="宋体" w:cs="仿宋"/>
        </w:rPr>
        <w:br w:type="page"/>
      </w:r>
    </w:p>
    <w:p>
      <w:pPr>
        <w:pStyle w:val="3"/>
        <w:spacing w:before="240" w:after="240" w:line="360" w:lineRule="auto"/>
        <w:jc w:val="center"/>
        <w:rPr>
          <w:rFonts w:ascii="宋体" w:cs="仿宋"/>
        </w:rPr>
      </w:pPr>
      <w:bookmarkStart w:id="5" w:name="_Toc33457484"/>
      <w:r>
        <w:rPr>
          <w:rFonts w:hint="eastAsia" w:ascii="宋体" w:hAnsi="宋体" w:cs="仿宋"/>
        </w:rPr>
        <w:t>第五章投标文件格式</w:t>
      </w:r>
      <w:bookmarkEnd w:id="5"/>
    </w:p>
    <w:p>
      <w:pPr>
        <w:spacing w:beforeLines="50" w:afterLines="50" w:line="360" w:lineRule="auto"/>
        <w:rPr>
          <w:rFonts w:ascii="宋体" w:cs="仿宋"/>
          <w:b/>
          <w:sz w:val="24"/>
          <w:szCs w:val="24"/>
        </w:rPr>
      </w:pPr>
      <w:r>
        <w:rPr>
          <w:rFonts w:hint="eastAsia" w:ascii="宋体" w:hAnsi="宋体" w:cs="仿宋"/>
          <w:b/>
          <w:sz w:val="24"/>
          <w:szCs w:val="24"/>
        </w:rPr>
        <w:t>一、法人代表委托书原件及被授权人身份证复印件</w:t>
      </w:r>
    </w:p>
    <w:p>
      <w:pPr>
        <w:spacing w:line="360" w:lineRule="auto"/>
        <w:rPr>
          <w:rFonts w:ascii="宋体" w:cs="仿宋"/>
          <w:color w:val="FF0000"/>
          <w:sz w:val="24"/>
          <w:szCs w:val="24"/>
        </w:rPr>
      </w:pPr>
      <w:r>
        <w:rPr>
          <w:rFonts w:ascii="宋体" w:hAnsi="宋体" w:cs="仿宋"/>
          <w:sz w:val="24"/>
          <w:szCs w:val="24"/>
        </w:rPr>
        <w:t>XXXXXX</w:t>
      </w:r>
      <w:r>
        <w:rPr>
          <w:rFonts w:hint="eastAsia" w:ascii="宋体" w:hAnsi="宋体" w:cs="仿宋"/>
          <w:color w:val="000000"/>
          <w:sz w:val="24"/>
          <w:szCs w:val="24"/>
        </w:rPr>
        <w:t>：</w:t>
      </w:r>
    </w:p>
    <w:p>
      <w:pPr>
        <w:spacing w:line="360" w:lineRule="auto"/>
        <w:ind w:firstLine="480" w:firstLineChars="200"/>
        <w:rPr>
          <w:rFonts w:ascii="宋体" w:cs="仿宋"/>
          <w:sz w:val="24"/>
          <w:szCs w:val="24"/>
          <w:lang w:val="zh-CN"/>
        </w:rPr>
      </w:pPr>
      <w:r>
        <w:rPr>
          <w:rFonts w:hint="eastAsia" w:ascii="宋体" w:hAnsi="宋体" w:cs="仿宋"/>
          <w:sz w:val="24"/>
          <w:szCs w:val="24"/>
          <w:lang w:val="zh-CN"/>
        </w:rPr>
        <w:t>兹授权</w:t>
      </w:r>
      <w:r>
        <w:rPr>
          <w:rFonts w:hint="eastAsia" w:ascii="宋体" w:hAnsi="宋体" w:cs="仿宋"/>
          <w:sz w:val="24"/>
          <w:szCs w:val="24"/>
          <w:u w:val="single"/>
          <w:lang w:val="zh-CN"/>
        </w:rPr>
        <w:t>（</w:t>
      </w:r>
      <w:r>
        <w:rPr>
          <w:rFonts w:hint="eastAsia" w:ascii="宋体" w:hAnsi="宋体" w:cs="仿宋"/>
          <w:sz w:val="24"/>
          <w:szCs w:val="24"/>
          <w:lang w:val="zh-CN"/>
        </w:rPr>
        <w:t>被授权人的姓名）代表我公司参加项目的政府采购活动，全权处理一切与该项目投标有关的事务。其在办理上述事宜过程中所签署的所有文件我公司均予以承认。</w:t>
      </w:r>
    </w:p>
    <w:p>
      <w:pPr>
        <w:spacing w:line="360" w:lineRule="auto"/>
        <w:rPr>
          <w:rFonts w:ascii="宋体" w:cs="仿宋"/>
          <w:sz w:val="24"/>
          <w:szCs w:val="24"/>
          <w:lang w:val="zh-CN"/>
        </w:rPr>
      </w:pPr>
      <w:r>
        <w:rPr>
          <w:rFonts w:hint="eastAsia" w:ascii="宋体" w:hAnsi="宋体" w:cs="仿宋"/>
          <w:sz w:val="24"/>
          <w:szCs w:val="24"/>
          <w:lang w:val="zh-CN"/>
        </w:rPr>
        <w:t>附：被授权人情况：</w:t>
      </w:r>
    </w:p>
    <w:p>
      <w:pPr>
        <w:spacing w:line="360" w:lineRule="auto"/>
        <w:rPr>
          <w:rFonts w:ascii="宋体" w:hAnsi="宋体" w:cs="仿宋"/>
          <w:sz w:val="24"/>
          <w:szCs w:val="24"/>
          <w:lang w:val="zh-CN"/>
        </w:rPr>
      </w:pPr>
      <w:r>
        <w:rPr>
          <w:rFonts w:hint="eastAsia" w:ascii="宋体" w:hAnsi="宋体" w:cs="仿宋"/>
          <w:sz w:val="24"/>
          <w:szCs w:val="24"/>
          <w:lang w:val="zh-CN"/>
        </w:rPr>
        <w:t>姓名：性别：年龄：职务：</w:t>
      </w:r>
    </w:p>
    <w:p>
      <w:pPr>
        <w:spacing w:line="360" w:lineRule="auto"/>
        <w:rPr>
          <w:rFonts w:ascii="宋体" w:hAnsi="宋体" w:cs="仿宋"/>
          <w:sz w:val="24"/>
          <w:szCs w:val="24"/>
          <w:lang w:val="zh-CN"/>
        </w:rPr>
      </w:pPr>
      <w:r>
        <w:rPr>
          <w:rFonts w:hint="eastAsia" w:ascii="宋体" w:hAnsi="宋体" w:cs="仿宋"/>
          <w:sz w:val="24"/>
          <w:szCs w:val="24"/>
          <w:lang w:val="zh-CN"/>
        </w:rPr>
        <w:t>身份证号码：</w:t>
      </w:r>
    </w:p>
    <w:p>
      <w:pPr>
        <w:spacing w:line="360" w:lineRule="auto"/>
        <w:rPr>
          <w:rFonts w:ascii="宋体" w:hAnsi="宋体" w:cs="仿宋"/>
          <w:sz w:val="24"/>
          <w:szCs w:val="24"/>
          <w:lang w:val="zh-CN"/>
        </w:rPr>
      </w:pPr>
      <w:r>
        <w:rPr>
          <w:rFonts w:hint="eastAsia" w:ascii="宋体" w:hAnsi="宋体" w:cs="仿宋"/>
          <w:sz w:val="24"/>
          <w:szCs w:val="24"/>
          <w:lang w:val="zh-CN"/>
        </w:rPr>
        <w:t>手机：传真：</w:t>
      </w:r>
    </w:p>
    <w:p>
      <w:pPr>
        <w:spacing w:line="360" w:lineRule="auto"/>
        <w:rPr>
          <w:rFonts w:ascii="宋体" w:cs="仿宋"/>
          <w:sz w:val="24"/>
          <w:szCs w:val="24"/>
          <w:lang w:val="zh-CN"/>
        </w:rPr>
      </w:pPr>
      <w:r>
        <w:rPr>
          <w:rFonts w:hint="eastAsia" w:ascii="宋体" w:hAnsi="宋体" w:cs="仿宋"/>
          <w:sz w:val="24"/>
          <w:szCs w:val="24"/>
          <w:lang w:val="zh-CN"/>
        </w:rPr>
        <w:t>单位名称（公章）法定代表人（签字）</w:t>
      </w:r>
    </w:p>
    <w:p>
      <w:pPr>
        <w:spacing w:line="360" w:lineRule="auto"/>
        <w:rPr>
          <w:rFonts w:ascii="宋体" w:hAnsi="宋体" w:cs="仿宋"/>
          <w:sz w:val="24"/>
          <w:szCs w:val="24"/>
          <w:lang w:val="zh-CN"/>
        </w:rPr>
      </w:pPr>
      <w:r>
        <w:rPr>
          <w:rFonts w:hint="eastAsia" w:ascii="宋体" w:hAnsi="宋体" w:cs="仿宋"/>
          <w:sz w:val="24"/>
          <w:szCs w:val="24"/>
          <w:lang w:val="zh-CN"/>
        </w:rPr>
        <w:t>年月日年月日</w:t>
      </w:r>
    </w:p>
    <w:p>
      <w:pPr>
        <w:spacing w:line="360" w:lineRule="auto"/>
        <w:rPr>
          <w:rFonts w:ascii="宋体" w:hAnsi="宋体" w:cs="仿宋"/>
          <w:sz w:val="24"/>
          <w:szCs w:val="24"/>
          <w:lang w:val="zh-CN"/>
        </w:rPr>
      </w:pPr>
    </w:p>
    <w:p>
      <w:pPr>
        <w:spacing w:line="360" w:lineRule="auto"/>
        <w:rPr>
          <w:rFonts w:ascii="宋体" w:cs="仿宋"/>
          <w:sz w:val="24"/>
          <w:szCs w:val="24"/>
          <w:lang w:val="zh-CN"/>
        </w:rPr>
      </w:pPr>
      <w:r>
        <w:rPr>
          <w:rFonts w:hint="eastAsia" w:ascii="宋体" w:hAnsi="宋体" w:cs="仿宋"/>
          <w:sz w:val="24"/>
          <w:szCs w:val="24"/>
          <w:lang w:val="zh-CN"/>
        </w:rPr>
        <w:t>被授权人身份证复印件</w:t>
      </w:r>
    </w:p>
    <w:p>
      <w:pPr>
        <w:spacing w:line="360" w:lineRule="auto"/>
        <w:rPr>
          <w:rFonts w:ascii="宋体" w:cs="仿宋"/>
          <w:sz w:val="24"/>
          <w:szCs w:val="24"/>
          <w:lang w:val="zh-CN"/>
        </w:rPr>
      </w:pPr>
    </w:p>
    <w:p>
      <w:pPr>
        <w:spacing w:line="360" w:lineRule="auto"/>
        <w:rPr>
          <w:rFonts w:ascii="宋体" w:cs="仿宋"/>
          <w:sz w:val="24"/>
          <w:szCs w:val="24"/>
          <w:lang w:val="zh-CN"/>
        </w:rPr>
      </w:pPr>
    </w:p>
    <w:p>
      <w:pPr>
        <w:spacing w:line="360" w:lineRule="auto"/>
        <w:rPr>
          <w:rFonts w:ascii="宋体" w:cs="仿宋"/>
          <w:sz w:val="24"/>
          <w:szCs w:val="24"/>
          <w:lang w:val="zh-CN"/>
        </w:rPr>
      </w:pPr>
    </w:p>
    <w:p>
      <w:pPr>
        <w:spacing w:line="360" w:lineRule="auto"/>
        <w:rPr>
          <w:rFonts w:ascii="宋体" w:cs="仿宋"/>
          <w:sz w:val="24"/>
          <w:szCs w:val="24"/>
          <w:lang w:val="zh-CN"/>
        </w:rPr>
      </w:pPr>
      <w:r>
        <w:rPr>
          <w:rFonts w:hint="eastAsia" w:ascii="宋体" w:hAnsi="宋体" w:cs="仿宋"/>
          <w:sz w:val="24"/>
          <w:szCs w:val="24"/>
          <w:lang w:val="zh-CN"/>
        </w:rPr>
        <w:t>法定代表人身份证复印件</w:t>
      </w:r>
    </w:p>
    <w:p>
      <w:pPr>
        <w:spacing w:line="360" w:lineRule="auto"/>
        <w:rPr>
          <w:rFonts w:ascii="宋体" w:cs="仿宋"/>
          <w:sz w:val="24"/>
          <w:szCs w:val="24"/>
        </w:rPr>
      </w:pPr>
    </w:p>
    <w:p>
      <w:pPr>
        <w:widowControl/>
        <w:jc w:val="left"/>
        <w:rPr>
          <w:rFonts w:ascii="宋体" w:cs="仿宋"/>
          <w:sz w:val="24"/>
          <w:szCs w:val="24"/>
        </w:rPr>
      </w:pPr>
      <w:r>
        <w:rPr>
          <w:rFonts w:ascii="宋体" w:cs="仿宋"/>
          <w:sz w:val="24"/>
          <w:szCs w:val="24"/>
        </w:rPr>
        <w:br w:type="page"/>
      </w:r>
    </w:p>
    <w:p>
      <w:pPr>
        <w:spacing w:beforeLines="50" w:afterLines="50" w:line="360" w:lineRule="auto"/>
        <w:rPr>
          <w:rFonts w:ascii="宋体" w:cs="仿宋"/>
          <w:b/>
          <w:sz w:val="24"/>
          <w:szCs w:val="24"/>
        </w:rPr>
      </w:pPr>
      <w:r>
        <w:rPr>
          <w:rFonts w:hint="eastAsia" w:ascii="宋体" w:hAnsi="宋体" w:cs="仿宋"/>
          <w:b/>
          <w:sz w:val="24"/>
          <w:szCs w:val="24"/>
        </w:rPr>
        <w:t>二、投标报价总表（单独密封）</w:t>
      </w:r>
    </w:p>
    <w:p>
      <w:pPr>
        <w:spacing w:line="360" w:lineRule="auto"/>
        <w:jc w:val="center"/>
        <w:rPr>
          <w:rFonts w:ascii="宋体" w:cs="仿宋"/>
          <w:b/>
          <w:sz w:val="24"/>
          <w:szCs w:val="24"/>
        </w:rPr>
      </w:pPr>
      <w:r>
        <w:rPr>
          <w:rFonts w:hint="eastAsia" w:ascii="宋体" w:hAnsi="宋体" w:cs="仿宋"/>
          <w:b/>
          <w:sz w:val="24"/>
          <w:szCs w:val="24"/>
        </w:rPr>
        <w:t>投标响应报价总表</w:t>
      </w:r>
    </w:p>
    <w:tbl>
      <w:tblPr>
        <w:tblStyle w:val="11"/>
        <w:tblW w:w="8984" w:type="dxa"/>
        <w:tblInd w:w="93" w:type="dxa"/>
        <w:tblLayout w:type="fixed"/>
        <w:tblCellMar>
          <w:top w:w="0" w:type="dxa"/>
          <w:left w:w="108" w:type="dxa"/>
          <w:bottom w:w="0" w:type="dxa"/>
          <w:right w:w="108" w:type="dxa"/>
        </w:tblCellMar>
      </w:tblPr>
      <w:tblGrid>
        <w:gridCol w:w="1149"/>
        <w:gridCol w:w="3515"/>
        <w:gridCol w:w="2848"/>
        <w:gridCol w:w="1472"/>
      </w:tblGrid>
      <w:tr>
        <w:tblPrEx>
          <w:tblCellMar>
            <w:top w:w="0" w:type="dxa"/>
            <w:left w:w="108" w:type="dxa"/>
            <w:bottom w:w="0" w:type="dxa"/>
            <w:right w:w="108" w:type="dxa"/>
          </w:tblCellMar>
        </w:tblPrEx>
        <w:trPr>
          <w:trHeight w:val="142" w:hRule="atLeast"/>
        </w:trPr>
        <w:tc>
          <w:tcPr>
            <w:tcW w:w="11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4"/>
                <w:szCs w:val="24"/>
              </w:rPr>
            </w:pPr>
            <w:r>
              <w:rPr>
                <w:rFonts w:hint="eastAsia" w:ascii="宋体" w:hAnsi="宋体" w:cs="仿宋"/>
                <w:sz w:val="24"/>
                <w:szCs w:val="24"/>
              </w:rPr>
              <w:t>序号</w:t>
            </w:r>
          </w:p>
        </w:tc>
        <w:tc>
          <w:tcPr>
            <w:tcW w:w="3515"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仿宋"/>
                <w:sz w:val="24"/>
                <w:szCs w:val="24"/>
              </w:rPr>
            </w:pPr>
            <w:r>
              <w:rPr>
                <w:rFonts w:hint="eastAsia" w:ascii="宋体" w:hAnsi="宋体" w:cs="仿宋"/>
                <w:sz w:val="24"/>
                <w:szCs w:val="24"/>
              </w:rPr>
              <w:t>名称</w:t>
            </w:r>
          </w:p>
        </w:tc>
        <w:tc>
          <w:tcPr>
            <w:tcW w:w="2848"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仿宋"/>
                <w:sz w:val="24"/>
                <w:szCs w:val="24"/>
              </w:rPr>
            </w:pPr>
            <w:r>
              <w:rPr>
                <w:rFonts w:hint="eastAsia" w:ascii="宋体" w:hAnsi="宋体" w:cs="仿宋"/>
                <w:sz w:val="24"/>
                <w:szCs w:val="24"/>
              </w:rPr>
              <w:t>金额（元）</w:t>
            </w:r>
          </w:p>
        </w:tc>
        <w:tc>
          <w:tcPr>
            <w:tcW w:w="1472"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仿宋"/>
                <w:sz w:val="24"/>
                <w:szCs w:val="24"/>
              </w:rPr>
            </w:pPr>
            <w:r>
              <w:rPr>
                <w:rFonts w:hint="eastAsia" w:ascii="宋体" w:hAnsi="宋体" w:cs="仿宋"/>
                <w:sz w:val="24"/>
                <w:szCs w:val="24"/>
              </w:rPr>
              <w:t>备注</w:t>
            </w:r>
          </w:p>
        </w:tc>
      </w:tr>
      <w:tr>
        <w:tblPrEx>
          <w:tblCellMar>
            <w:top w:w="0" w:type="dxa"/>
            <w:left w:w="108" w:type="dxa"/>
            <w:bottom w:w="0" w:type="dxa"/>
            <w:right w:w="108" w:type="dxa"/>
          </w:tblCellMar>
        </w:tblPrEx>
        <w:trPr>
          <w:trHeight w:val="415" w:hRule="atLeast"/>
        </w:trPr>
        <w:tc>
          <w:tcPr>
            <w:tcW w:w="1149" w:type="dxa"/>
            <w:tcBorders>
              <w:top w:val="nil"/>
              <w:left w:val="single" w:color="auto" w:sz="4" w:space="0"/>
              <w:bottom w:val="single" w:color="auto" w:sz="4" w:space="0"/>
              <w:right w:val="single" w:color="auto" w:sz="4" w:space="0"/>
            </w:tcBorders>
            <w:vAlign w:val="center"/>
          </w:tcPr>
          <w:p>
            <w:pPr>
              <w:spacing w:line="360" w:lineRule="auto"/>
              <w:rPr>
                <w:rFonts w:ascii="宋体" w:hAnsi="宋体" w:cs="仿宋"/>
                <w:sz w:val="24"/>
                <w:szCs w:val="24"/>
              </w:rPr>
            </w:pPr>
            <w:r>
              <w:rPr>
                <w:rFonts w:ascii="宋体" w:hAnsi="宋体" w:cs="仿宋"/>
                <w:sz w:val="24"/>
                <w:szCs w:val="24"/>
              </w:rPr>
              <w:t>1</w:t>
            </w:r>
          </w:p>
        </w:tc>
        <w:tc>
          <w:tcPr>
            <w:tcW w:w="3515" w:type="dxa"/>
            <w:tcBorders>
              <w:top w:val="nil"/>
              <w:left w:val="nil"/>
              <w:bottom w:val="single" w:color="auto" w:sz="4" w:space="0"/>
              <w:right w:val="single" w:color="auto" w:sz="4" w:space="0"/>
            </w:tcBorders>
            <w:vAlign w:val="center"/>
          </w:tcPr>
          <w:p>
            <w:pPr>
              <w:spacing w:line="360" w:lineRule="auto"/>
              <w:rPr>
                <w:rFonts w:ascii="宋体" w:hAnsi="宋体" w:cs="仿宋"/>
                <w:sz w:val="24"/>
                <w:szCs w:val="24"/>
              </w:rPr>
            </w:pPr>
          </w:p>
        </w:tc>
        <w:tc>
          <w:tcPr>
            <w:tcW w:w="2848" w:type="dxa"/>
            <w:tcBorders>
              <w:top w:val="nil"/>
              <w:left w:val="nil"/>
              <w:bottom w:val="single" w:color="auto" w:sz="4" w:space="0"/>
              <w:right w:val="single" w:color="auto" w:sz="4" w:space="0"/>
            </w:tcBorders>
            <w:vAlign w:val="center"/>
          </w:tcPr>
          <w:p>
            <w:pPr>
              <w:spacing w:line="360" w:lineRule="auto"/>
              <w:rPr>
                <w:rFonts w:ascii="宋体" w:hAnsi="宋体" w:cs="仿宋"/>
                <w:sz w:val="24"/>
                <w:szCs w:val="24"/>
              </w:rPr>
            </w:pPr>
          </w:p>
        </w:tc>
        <w:tc>
          <w:tcPr>
            <w:tcW w:w="1472" w:type="dxa"/>
            <w:tcBorders>
              <w:top w:val="nil"/>
              <w:left w:val="nil"/>
              <w:bottom w:val="single" w:color="auto" w:sz="4" w:space="0"/>
              <w:right w:val="single" w:color="auto" w:sz="4" w:space="0"/>
            </w:tcBorders>
            <w:vAlign w:val="center"/>
          </w:tcPr>
          <w:p>
            <w:pPr>
              <w:spacing w:line="360" w:lineRule="auto"/>
              <w:rPr>
                <w:rFonts w:ascii="宋体" w:hAnsi="宋体" w:cs="仿宋"/>
                <w:sz w:val="24"/>
                <w:szCs w:val="24"/>
              </w:rPr>
            </w:pPr>
          </w:p>
        </w:tc>
      </w:tr>
      <w:tr>
        <w:tblPrEx>
          <w:tblCellMar>
            <w:top w:w="0" w:type="dxa"/>
            <w:left w:w="108" w:type="dxa"/>
            <w:bottom w:w="0" w:type="dxa"/>
            <w:right w:w="108" w:type="dxa"/>
          </w:tblCellMar>
        </w:tblPrEx>
        <w:trPr>
          <w:trHeight w:val="163" w:hRule="atLeast"/>
        </w:trPr>
        <w:tc>
          <w:tcPr>
            <w:tcW w:w="1149" w:type="dxa"/>
            <w:tcBorders>
              <w:top w:val="nil"/>
              <w:left w:val="single" w:color="auto" w:sz="4" w:space="0"/>
              <w:bottom w:val="single" w:color="auto" w:sz="4" w:space="0"/>
              <w:right w:val="single" w:color="auto" w:sz="4" w:space="0"/>
            </w:tcBorders>
            <w:vAlign w:val="center"/>
          </w:tcPr>
          <w:p>
            <w:pPr>
              <w:spacing w:line="360" w:lineRule="auto"/>
              <w:rPr>
                <w:rFonts w:ascii="宋体" w:cs="仿宋"/>
                <w:sz w:val="24"/>
                <w:szCs w:val="24"/>
              </w:rPr>
            </w:pPr>
          </w:p>
        </w:tc>
        <w:tc>
          <w:tcPr>
            <w:tcW w:w="3515" w:type="dxa"/>
            <w:tcBorders>
              <w:top w:val="nil"/>
              <w:left w:val="nil"/>
              <w:bottom w:val="single" w:color="auto" w:sz="4" w:space="0"/>
              <w:right w:val="single" w:color="auto" w:sz="4" w:space="0"/>
            </w:tcBorders>
            <w:vAlign w:val="center"/>
          </w:tcPr>
          <w:p>
            <w:pPr>
              <w:spacing w:line="360" w:lineRule="auto"/>
              <w:rPr>
                <w:rFonts w:ascii="宋体" w:cs="仿宋"/>
                <w:sz w:val="24"/>
                <w:szCs w:val="24"/>
              </w:rPr>
            </w:pPr>
          </w:p>
        </w:tc>
        <w:tc>
          <w:tcPr>
            <w:tcW w:w="2848" w:type="dxa"/>
            <w:tcBorders>
              <w:top w:val="nil"/>
              <w:left w:val="nil"/>
              <w:bottom w:val="single" w:color="auto" w:sz="4" w:space="0"/>
              <w:right w:val="single" w:color="auto" w:sz="4" w:space="0"/>
            </w:tcBorders>
            <w:vAlign w:val="center"/>
          </w:tcPr>
          <w:p>
            <w:pPr>
              <w:spacing w:line="360" w:lineRule="auto"/>
              <w:rPr>
                <w:rFonts w:ascii="宋体" w:cs="仿宋"/>
                <w:sz w:val="24"/>
                <w:szCs w:val="24"/>
              </w:rPr>
            </w:pPr>
          </w:p>
        </w:tc>
        <w:tc>
          <w:tcPr>
            <w:tcW w:w="1472" w:type="dxa"/>
            <w:tcBorders>
              <w:top w:val="nil"/>
              <w:left w:val="nil"/>
              <w:bottom w:val="single" w:color="auto" w:sz="4" w:space="0"/>
              <w:right w:val="single" w:color="auto" w:sz="4" w:space="0"/>
            </w:tcBorders>
            <w:vAlign w:val="center"/>
          </w:tcPr>
          <w:p>
            <w:pPr>
              <w:spacing w:line="360" w:lineRule="auto"/>
              <w:rPr>
                <w:rFonts w:ascii="宋体" w:cs="仿宋"/>
                <w:sz w:val="24"/>
                <w:szCs w:val="24"/>
              </w:rPr>
            </w:pPr>
          </w:p>
        </w:tc>
      </w:tr>
      <w:tr>
        <w:tblPrEx>
          <w:tblCellMar>
            <w:top w:w="0" w:type="dxa"/>
            <w:left w:w="108" w:type="dxa"/>
            <w:bottom w:w="0" w:type="dxa"/>
            <w:right w:w="108" w:type="dxa"/>
          </w:tblCellMar>
        </w:tblPrEx>
        <w:trPr>
          <w:trHeight w:val="415" w:hRule="atLeast"/>
        </w:trPr>
        <w:tc>
          <w:tcPr>
            <w:tcW w:w="1149" w:type="dxa"/>
            <w:tcBorders>
              <w:top w:val="nil"/>
              <w:left w:val="single" w:color="auto" w:sz="4" w:space="0"/>
              <w:bottom w:val="single" w:color="auto" w:sz="4" w:space="0"/>
              <w:right w:val="single" w:color="auto" w:sz="4" w:space="0"/>
            </w:tcBorders>
            <w:vAlign w:val="center"/>
          </w:tcPr>
          <w:p>
            <w:pPr>
              <w:spacing w:line="360" w:lineRule="auto"/>
              <w:rPr>
                <w:rFonts w:ascii="宋体" w:cs="仿宋"/>
                <w:sz w:val="24"/>
                <w:szCs w:val="24"/>
              </w:rPr>
            </w:pPr>
          </w:p>
        </w:tc>
        <w:tc>
          <w:tcPr>
            <w:tcW w:w="3515" w:type="dxa"/>
            <w:tcBorders>
              <w:top w:val="nil"/>
              <w:left w:val="nil"/>
              <w:bottom w:val="single" w:color="auto" w:sz="4" w:space="0"/>
              <w:right w:val="single" w:color="auto" w:sz="4" w:space="0"/>
            </w:tcBorders>
            <w:vAlign w:val="center"/>
          </w:tcPr>
          <w:p>
            <w:pPr>
              <w:spacing w:line="360" w:lineRule="auto"/>
              <w:rPr>
                <w:rFonts w:ascii="宋体" w:cs="仿宋"/>
                <w:sz w:val="24"/>
                <w:szCs w:val="24"/>
              </w:rPr>
            </w:pPr>
          </w:p>
        </w:tc>
        <w:tc>
          <w:tcPr>
            <w:tcW w:w="2848" w:type="dxa"/>
            <w:tcBorders>
              <w:top w:val="nil"/>
              <w:left w:val="nil"/>
              <w:bottom w:val="single" w:color="auto" w:sz="4" w:space="0"/>
              <w:right w:val="single" w:color="auto" w:sz="4" w:space="0"/>
            </w:tcBorders>
            <w:vAlign w:val="center"/>
          </w:tcPr>
          <w:p>
            <w:pPr>
              <w:spacing w:line="360" w:lineRule="auto"/>
              <w:rPr>
                <w:rFonts w:ascii="宋体" w:cs="仿宋"/>
                <w:sz w:val="24"/>
                <w:szCs w:val="24"/>
              </w:rPr>
            </w:pPr>
          </w:p>
        </w:tc>
        <w:tc>
          <w:tcPr>
            <w:tcW w:w="1472" w:type="dxa"/>
            <w:tcBorders>
              <w:top w:val="nil"/>
              <w:left w:val="nil"/>
              <w:bottom w:val="single" w:color="auto" w:sz="4" w:space="0"/>
              <w:right w:val="single" w:color="auto" w:sz="4" w:space="0"/>
            </w:tcBorders>
            <w:vAlign w:val="center"/>
          </w:tcPr>
          <w:p>
            <w:pPr>
              <w:spacing w:line="360" w:lineRule="auto"/>
              <w:rPr>
                <w:rFonts w:ascii="宋体" w:cs="仿宋"/>
                <w:sz w:val="24"/>
                <w:szCs w:val="24"/>
              </w:rPr>
            </w:pPr>
          </w:p>
        </w:tc>
      </w:tr>
      <w:tr>
        <w:tblPrEx>
          <w:tblCellMar>
            <w:top w:w="0" w:type="dxa"/>
            <w:left w:w="108" w:type="dxa"/>
            <w:bottom w:w="0" w:type="dxa"/>
            <w:right w:w="108" w:type="dxa"/>
          </w:tblCellMar>
        </w:tblPrEx>
        <w:trPr>
          <w:trHeight w:val="415" w:hRule="atLeast"/>
        </w:trPr>
        <w:tc>
          <w:tcPr>
            <w:tcW w:w="1149" w:type="dxa"/>
            <w:tcBorders>
              <w:top w:val="nil"/>
              <w:left w:val="single" w:color="auto" w:sz="4" w:space="0"/>
              <w:bottom w:val="single" w:color="auto" w:sz="4" w:space="0"/>
              <w:right w:val="single" w:color="auto" w:sz="4" w:space="0"/>
            </w:tcBorders>
            <w:vAlign w:val="center"/>
          </w:tcPr>
          <w:p>
            <w:pPr>
              <w:spacing w:line="360" w:lineRule="auto"/>
              <w:rPr>
                <w:rFonts w:ascii="宋体" w:cs="仿宋"/>
                <w:sz w:val="24"/>
                <w:szCs w:val="24"/>
              </w:rPr>
            </w:pPr>
          </w:p>
        </w:tc>
        <w:tc>
          <w:tcPr>
            <w:tcW w:w="3515" w:type="dxa"/>
            <w:tcBorders>
              <w:top w:val="nil"/>
              <w:left w:val="nil"/>
              <w:bottom w:val="single" w:color="auto" w:sz="4" w:space="0"/>
              <w:right w:val="single" w:color="auto" w:sz="4" w:space="0"/>
            </w:tcBorders>
            <w:vAlign w:val="center"/>
          </w:tcPr>
          <w:p>
            <w:pPr>
              <w:spacing w:line="360" w:lineRule="auto"/>
              <w:rPr>
                <w:rFonts w:ascii="宋体" w:cs="仿宋"/>
                <w:sz w:val="24"/>
                <w:szCs w:val="24"/>
              </w:rPr>
            </w:pPr>
          </w:p>
        </w:tc>
        <w:tc>
          <w:tcPr>
            <w:tcW w:w="2848" w:type="dxa"/>
            <w:tcBorders>
              <w:top w:val="nil"/>
              <w:left w:val="nil"/>
              <w:bottom w:val="single" w:color="auto" w:sz="4" w:space="0"/>
              <w:right w:val="single" w:color="auto" w:sz="4" w:space="0"/>
            </w:tcBorders>
            <w:vAlign w:val="center"/>
          </w:tcPr>
          <w:p>
            <w:pPr>
              <w:spacing w:line="360" w:lineRule="auto"/>
              <w:rPr>
                <w:rFonts w:ascii="宋体" w:cs="仿宋"/>
                <w:sz w:val="24"/>
                <w:szCs w:val="24"/>
              </w:rPr>
            </w:pPr>
          </w:p>
        </w:tc>
        <w:tc>
          <w:tcPr>
            <w:tcW w:w="1472" w:type="dxa"/>
            <w:tcBorders>
              <w:top w:val="nil"/>
              <w:left w:val="nil"/>
              <w:bottom w:val="single" w:color="auto" w:sz="4" w:space="0"/>
              <w:right w:val="single" w:color="auto" w:sz="4" w:space="0"/>
            </w:tcBorders>
            <w:vAlign w:val="center"/>
          </w:tcPr>
          <w:p>
            <w:pPr>
              <w:spacing w:line="360" w:lineRule="auto"/>
              <w:rPr>
                <w:rFonts w:ascii="宋体" w:cs="仿宋"/>
                <w:sz w:val="24"/>
                <w:szCs w:val="24"/>
              </w:rPr>
            </w:pPr>
          </w:p>
        </w:tc>
      </w:tr>
      <w:tr>
        <w:tblPrEx>
          <w:tblCellMar>
            <w:top w:w="0" w:type="dxa"/>
            <w:left w:w="108" w:type="dxa"/>
            <w:bottom w:w="0" w:type="dxa"/>
            <w:right w:w="108" w:type="dxa"/>
          </w:tblCellMar>
        </w:tblPrEx>
        <w:trPr>
          <w:trHeight w:val="415" w:hRule="atLeast"/>
        </w:trPr>
        <w:tc>
          <w:tcPr>
            <w:tcW w:w="1149" w:type="dxa"/>
            <w:tcBorders>
              <w:top w:val="nil"/>
              <w:left w:val="single" w:color="auto" w:sz="4" w:space="0"/>
              <w:bottom w:val="single" w:color="auto" w:sz="4" w:space="0"/>
              <w:right w:val="single" w:color="auto" w:sz="4" w:space="0"/>
            </w:tcBorders>
            <w:vAlign w:val="center"/>
          </w:tcPr>
          <w:p>
            <w:pPr>
              <w:spacing w:line="360" w:lineRule="auto"/>
              <w:rPr>
                <w:rFonts w:ascii="宋体" w:cs="仿宋"/>
                <w:sz w:val="24"/>
                <w:szCs w:val="24"/>
              </w:rPr>
            </w:pPr>
          </w:p>
        </w:tc>
        <w:tc>
          <w:tcPr>
            <w:tcW w:w="3515" w:type="dxa"/>
            <w:tcBorders>
              <w:top w:val="nil"/>
              <w:left w:val="nil"/>
              <w:bottom w:val="single" w:color="auto" w:sz="4" w:space="0"/>
              <w:right w:val="single" w:color="auto" w:sz="4" w:space="0"/>
            </w:tcBorders>
            <w:vAlign w:val="center"/>
          </w:tcPr>
          <w:p>
            <w:pPr>
              <w:spacing w:line="360" w:lineRule="auto"/>
              <w:rPr>
                <w:rFonts w:ascii="宋体" w:cs="仿宋"/>
                <w:sz w:val="24"/>
                <w:szCs w:val="24"/>
              </w:rPr>
            </w:pPr>
          </w:p>
        </w:tc>
        <w:tc>
          <w:tcPr>
            <w:tcW w:w="2848" w:type="dxa"/>
            <w:tcBorders>
              <w:top w:val="nil"/>
              <w:left w:val="nil"/>
              <w:bottom w:val="single" w:color="auto" w:sz="4" w:space="0"/>
              <w:right w:val="single" w:color="auto" w:sz="4" w:space="0"/>
            </w:tcBorders>
            <w:vAlign w:val="center"/>
          </w:tcPr>
          <w:p>
            <w:pPr>
              <w:spacing w:line="360" w:lineRule="auto"/>
              <w:rPr>
                <w:rFonts w:ascii="宋体" w:cs="仿宋"/>
                <w:sz w:val="24"/>
                <w:szCs w:val="24"/>
              </w:rPr>
            </w:pPr>
          </w:p>
        </w:tc>
        <w:tc>
          <w:tcPr>
            <w:tcW w:w="1472" w:type="dxa"/>
            <w:tcBorders>
              <w:top w:val="nil"/>
              <w:left w:val="nil"/>
              <w:bottom w:val="single" w:color="auto" w:sz="4" w:space="0"/>
              <w:right w:val="single" w:color="auto" w:sz="4" w:space="0"/>
            </w:tcBorders>
            <w:vAlign w:val="center"/>
          </w:tcPr>
          <w:p>
            <w:pPr>
              <w:spacing w:line="360" w:lineRule="auto"/>
              <w:rPr>
                <w:rFonts w:ascii="宋体" w:cs="仿宋"/>
                <w:sz w:val="24"/>
                <w:szCs w:val="24"/>
              </w:rPr>
            </w:pPr>
          </w:p>
        </w:tc>
      </w:tr>
      <w:tr>
        <w:tblPrEx>
          <w:tblCellMar>
            <w:top w:w="0" w:type="dxa"/>
            <w:left w:w="108" w:type="dxa"/>
            <w:bottom w:w="0" w:type="dxa"/>
            <w:right w:w="108" w:type="dxa"/>
          </w:tblCellMar>
        </w:tblPrEx>
        <w:trPr>
          <w:trHeight w:val="415" w:hRule="atLeast"/>
        </w:trPr>
        <w:tc>
          <w:tcPr>
            <w:tcW w:w="1149" w:type="dxa"/>
            <w:tcBorders>
              <w:top w:val="nil"/>
              <w:left w:val="single" w:color="auto" w:sz="4" w:space="0"/>
              <w:bottom w:val="single" w:color="auto" w:sz="4" w:space="0"/>
              <w:right w:val="single" w:color="auto" w:sz="4" w:space="0"/>
            </w:tcBorders>
            <w:vAlign w:val="center"/>
          </w:tcPr>
          <w:p>
            <w:pPr>
              <w:spacing w:line="360" w:lineRule="auto"/>
              <w:rPr>
                <w:rFonts w:ascii="宋体" w:cs="仿宋"/>
                <w:b/>
                <w:bCs/>
                <w:sz w:val="24"/>
                <w:szCs w:val="24"/>
              </w:rPr>
            </w:pPr>
            <w:r>
              <w:rPr>
                <w:rFonts w:hint="eastAsia" w:ascii="宋体" w:hAnsi="宋体" w:cs="仿宋"/>
                <w:b/>
                <w:bCs/>
                <w:sz w:val="24"/>
                <w:szCs w:val="24"/>
              </w:rPr>
              <w:t>总报价</w:t>
            </w:r>
          </w:p>
        </w:tc>
        <w:tc>
          <w:tcPr>
            <w:tcW w:w="7835" w:type="dxa"/>
            <w:gridSpan w:val="3"/>
            <w:tcBorders>
              <w:top w:val="nil"/>
              <w:left w:val="nil"/>
              <w:bottom w:val="single" w:color="auto" w:sz="4" w:space="0"/>
              <w:right w:val="single" w:color="auto" w:sz="4" w:space="0"/>
            </w:tcBorders>
            <w:vAlign w:val="center"/>
          </w:tcPr>
          <w:p>
            <w:pPr>
              <w:spacing w:line="360" w:lineRule="auto"/>
              <w:rPr>
                <w:rFonts w:ascii="宋体" w:cs="仿宋"/>
                <w:b/>
                <w:bCs/>
                <w:sz w:val="24"/>
                <w:szCs w:val="24"/>
              </w:rPr>
            </w:pPr>
            <w:r>
              <w:rPr>
                <w:rFonts w:hint="eastAsia" w:ascii="宋体" w:hAnsi="宋体" w:cs="仿宋"/>
                <w:b/>
                <w:bCs/>
                <w:sz w:val="24"/>
                <w:szCs w:val="24"/>
              </w:rPr>
              <w:t>人民币（大写）元整</w:t>
            </w:r>
          </w:p>
          <w:p>
            <w:pPr>
              <w:spacing w:line="360" w:lineRule="auto"/>
              <w:rPr>
                <w:rFonts w:ascii="宋体" w:cs="仿宋"/>
                <w:b/>
                <w:bCs/>
                <w:sz w:val="24"/>
                <w:szCs w:val="24"/>
              </w:rPr>
            </w:pPr>
            <w:r>
              <w:rPr>
                <w:rFonts w:hint="eastAsia" w:ascii="宋体" w:hAnsi="宋体" w:cs="仿宋"/>
                <w:b/>
                <w:bCs/>
                <w:sz w:val="24"/>
                <w:szCs w:val="24"/>
              </w:rPr>
              <w:t>（</w:t>
            </w:r>
            <w:r>
              <w:rPr>
                <w:rFonts w:ascii="宋体" w:cs="Calibri"/>
                <w:b/>
                <w:bCs/>
                <w:sz w:val="24"/>
                <w:szCs w:val="24"/>
              </w:rPr>
              <w:t>¥</w:t>
            </w:r>
            <w:r>
              <w:rPr>
                <w:rFonts w:hint="eastAsia" w:ascii="宋体" w:hAnsi="宋体" w:cs="仿宋"/>
                <w:b/>
                <w:bCs/>
                <w:sz w:val="24"/>
                <w:szCs w:val="24"/>
              </w:rPr>
              <w:t>元整）</w:t>
            </w:r>
          </w:p>
        </w:tc>
      </w:tr>
    </w:tbl>
    <w:p>
      <w:pPr>
        <w:spacing w:line="360" w:lineRule="auto"/>
        <w:rPr>
          <w:rFonts w:ascii="宋体" w:cs="仿宋"/>
          <w:sz w:val="24"/>
          <w:szCs w:val="24"/>
        </w:rPr>
      </w:pPr>
    </w:p>
    <w:p>
      <w:pPr>
        <w:spacing w:line="360" w:lineRule="auto"/>
        <w:rPr>
          <w:rFonts w:ascii="宋体" w:cs="仿宋"/>
          <w:sz w:val="24"/>
          <w:szCs w:val="24"/>
        </w:rPr>
      </w:pPr>
      <w:r>
        <w:rPr>
          <w:rFonts w:hint="eastAsia" w:ascii="宋体" w:hAnsi="宋体" w:cs="仿宋"/>
          <w:sz w:val="24"/>
          <w:szCs w:val="24"/>
        </w:rPr>
        <w:t>法定代表人或被授权人（签字）：</w:t>
      </w:r>
    </w:p>
    <w:p>
      <w:pPr>
        <w:spacing w:line="360" w:lineRule="auto"/>
        <w:rPr>
          <w:rFonts w:ascii="宋体" w:cs="仿宋"/>
          <w:sz w:val="24"/>
          <w:szCs w:val="24"/>
        </w:rPr>
      </w:pPr>
      <w:r>
        <w:rPr>
          <w:rFonts w:hint="eastAsia" w:ascii="宋体" w:hAnsi="宋体" w:cs="仿宋"/>
          <w:sz w:val="24"/>
          <w:szCs w:val="24"/>
        </w:rPr>
        <w:t>参加投标供应商（盖章）：</w:t>
      </w:r>
    </w:p>
    <w:p>
      <w:pPr>
        <w:spacing w:line="360" w:lineRule="auto"/>
        <w:rPr>
          <w:rFonts w:ascii="宋体" w:cs="仿宋"/>
          <w:sz w:val="24"/>
          <w:szCs w:val="24"/>
        </w:rPr>
      </w:pPr>
      <w:r>
        <w:rPr>
          <w:rFonts w:hint="eastAsia" w:ascii="宋体" w:hAnsi="宋体" w:cs="仿宋"/>
          <w:sz w:val="24"/>
          <w:szCs w:val="24"/>
        </w:rPr>
        <w:t>注：投标总报价（以人民币计价）应包含实施该项目所有费用。</w:t>
      </w:r>
    </w:p>
    <w:p>
      <w:pPr>
        <w:spacing w:line="360" w:lineRule="auto"/>
        <w:rPr>
          <w:rFonts w:ascii="宋体" w:cs="仿宋"/>
          <w:sz w:val="24"/>
          <w:szCs w:val="24"/>
        </w:rPr>
      </w:pPr>
    </w:p>
    <w:p>
      <w:pPr>
        <w:widowControl/>
        <w:jc w:val="left"/>
        <w:rPr>
          <w:rFonts w:ascii="宋体" w:cs="仿宋"/>
          <w:sz w:val="24"/>
          <w:szCs w:val="24"/>
        </w:rPr>
      </w:pPr>
      <w:r>
        <w:rPr>
          <w:rFonts w:ascii="宋体" w:cs="仿宋"/>
          <w:sz w:val="24"/>
          <w:szCs w:val="24"/>
        </w:rPr>
        <w:br w:type="page"/>
      </w:r>
    </w:p>
    <w:p>
      <w:pPr>
        <w:spacing w:beforeLines="50" w:afterLines="50" w:line="360" w:lineRule="auto"/>
        <w:rPr>
          <w:rFonts w:ascii="宋体" w:cs="仿宋"/>
          <w:b/>
          <w:sz w:val="24"/>
          <w:szCs w:val="24"/>
        </w:rPr>
      </w:pPr>
      <w:r>
        <w:rPr>
          <w:rFonts w:hint="eastAsia" w:ascii="宋体" w:hAnsi="宋体" w:cs="仿宋"/>
          <w:b/>
          <w:sz w:val="24"/>
          <w:szCs w:val="24"/>
        </w:rPr>
        <w:t>三、投标承诺书</w:t>
      </w:r>
    </w:p>
    <w:p>
      <w:pPr>
        <w:spacing w:line="360" w:lineRule="auto"/>
        <w:rPr>
          <w:rFonts w:ascii="宋体" w:cs="仿宋"/>
          <w:sz w:val="24"/>
          <w:szCs w:val="24"/>
        </w:rPr>
      </w:pPr>
      <w:r>
        <w:rPr>
          <w:rFonts w:hint="eastAsia" w:ascii="宋体" w:hAnsi="宋体" w:cs="仿宋"/>
          <w:sz w:val="24"/>
          <w:szCs w:val="24"/>
        </w:rPr>
        <w:t>南通市档案馆：</w:t>
      </w:r>
    </w:p>
    <w:p>
      <w:pPr>
        <w:spacing w:line="360" w:lineRule="auto"/>
        <w:ind w:firstLine="480" w:firstLineChars="200"/>
        <w:rPr>
          <w:rFonts w:ascii="宋体" w:cs="仿宋"/>
          <w:sz w:val="24"/>
          <w:szCs w:val="24"/>
        </w:rPr>
      </w:pPr>
      <w:r>
        <w:rPr>
          <w:rFonts w:hint="eastAsia" w:ascii="宋体" w:hAnsi="宋体" w:cs="仿宋"/>
          <w:sz w:val="24"/>
          <w:szCs w:val="24"/>
        </w:rPr>
        <w:t>（投标单位全称）授权（姓名）（职务）为全权代表，参加项目招标的有关活动，并宣布同意如下：</w:t>
      </w:r>
    </w:p>
    <w:p>
      <w:pPr>
        <w:spacing w:line="360" w:lineRule="auto"/>
        <w:ind w:firstLine="480" w:firstLineChars="200"/>
        <w:rPr>
          <w:rFonts w:ascii="宋体" w:cs="仿宋"/>
          <w:sz w:val="24"/>
          <w:szCs w:val="24"/>
        </w:rPr>
      </w:pPr>
      <w:r>
        <w:rPr>
          <w:rFonts w:ascii="宋体" w:hAnsi="宋体" w:cs="仿宋"/>
          <w:sz w:val="24"/>
          <w:szCs w:val="24"/>
        </w:rPr>
        <w:t>1</w:t>
      </w:r>
      <w:r>
        <w:rPr>
          <w:rFonts w:hint="eastAsia" w:ascii="宋体" w:hAnsi="宋体" w:cs="仿宋"/>
          <w:sz w:val="24"/>
          <w:szCs w:val="24"/>
        </w:rPr>
        <w:t>．我方愿意按照招标文件的全部要求进行投标（投标内容及价格以投标文件为准）。</w:t>
      </w:r>
    </w:p>
    <w:p>
      <w:pPr>
        <w:spacing w:line="360" w:lineRule="auto"/>
        <w:ind w:firstLine="480" w:firstLineChars="200"/>
        <w:rPr>
          <w:rFonts w:ascii="宋体" w:cs="仿宋"/>
          <w:sz w:val="24"/>
          <w:szCs w:val="24"/>
        </w:rPr>
      </w:pPr>
      <w:r>
        <w:rPr>
          <w:rFonts w:ascii="宋体" w:hAnsi="宋体" w:cs="仿宋"/>
          <w:sz w:val="24"/>
          <w:szCs w:val="24"/>
        </w:rPr>
        <w:t>2</w:t>
      </w:r>
      <w:r>
        <w:rPr>
          <w:rFonts w:hint="eastAsia" w:ascii="宋体" w:hAnsi="宋体" w:cs="仿宋"/>
          <w:sz w:val="24"/>
          <w:szCs w:val="24"/>
        </w:rPr>
        <w:t>．我方完全理解并同意放弃对招标文件有不明及误解的权利。</w:t>
      </w:r>
    </w:p>
    <w:p>
      <w:pPr>
        <w:spacing w:line="360" w:lineRule="auto"/>
        <w:ind w:firstLine="480" w:firstLineChars="200"/>
        <w:rPr>
          <w:rFonts w:ascii="宋体" w:cs="仿宋"/>
          <w:sz w:val="24"/>
          <w:szCs w:val="24"/>
        </w:rPr>
      </w:pPr>
      <w:r>
        <w:rPr>
          <w:rFonts w:ascii="宋体" w:hAnsi="宋体" w:cs="仿宋"/>
          <w:sz w:val="24"/>
          <w:szCs w:val="24"/>
        </w:rPr>
        <w:t>3</w:t>
      </w:r>
      <w:r>
        <w:rPr>
          <w:rFonts w:hint="eastAsia" w:ascii="宋体" w:hAnsi="宋体" w:cs="仿宋"/>
          <w:sz w:val="24"/>
          <w:szCs w:val="24"/>
        </w:rPr>
        <w:t>．我方将按招标文件的规定履行合同责任和义务。</w:t>
      </w:r>
    </w:p>
    <w:p>
      <w:pPr>
        <w:spacing w:line="360" w:lineRule="auto"/>
        <w:ind w:firstLine="480" w:firstLineChars="200"/>
        <w:rPr>
          <w:rFonts w:ascii="宋体" w:cs="仿宋"/>
          <w:sz w:val="24"/>
          <w:szCs w:val="24"/>
        </w:rPr>
      </w:pPr>
      <w:r>
        <w:rPr>
          <w:rFonts w:ascii="宋体" w:hAnsi="宋体" w:cs="仿宋"/>
          <w:sz w:val="24"/>
          <w:szCs w:val="24"/>
        </w:rPr>
        <w:t>4</w:t>
      </w:r>
      <w:r>
        <w:rPr>
          <w:rFonts w:hint="eastAsia" w:ascii="宋体" w:hAnsi="宋体" w:cs="仿宋"/>
          <w:sz w:val="24"/>
          <w:szCs w:val="24"/>
        </w:rPr>
        <w:t>．如果我方在投标有效期内撤回投标，投标保证金将被贵方没收。</w:t>
      </w:r>
    </w:p>
    <w:p>
      <w:pPr>
        <w:spacing w:line="360" w:lineRule="auto"/>
        <w:ind w:firstLine="480" w:firstLineChars="200"/>
        <w:rPr>
          <w:rFonts w:ascii="宋体" w:cs="仿宋"/>
          <w:sz w:val="24"/>
          <w:szCs w:val="24"/>
        </w:rPr>
      </w:pPr>
      <w:r>
        <w:rPr>
          <w:rFonts w:ascii="宋体" w:hAnsi="宋体" w:cs="仿宋"/>
          <w:sz w:val="24"/>
          <w:szCs w:val="24"/>
        </w:rPr>
        <w:t>5</w:t>
      </w:r>
      <w:r>
        <w:rPr>
          <w:rFonts w:hint="eastAsia" w:ascii="宋体" w:hAnsi="宋体" w:cs="仿宋"/>
          <w:sz w:val="24"/>
          <w:szCs w:val="24"/>
        </w:rPr>
        <w:t>．我方同意提供按照贵方可能要求的与其投标有关的一切数据或资料。</w:t>
      </w:r>
    </w:p>
    <w:p>
      <w:pPr>
        <w:spacing w:line="360" w:lineRule="auto"/>
        <w:ind w:firstLine="480" w:firstLineChars="200"/>
        <w:rPr>
          <w:rFonts w:ascii="宋体" w:cs="仿宋"/>
          <w:sz w:val="24"/>
          <w:szCs w:val="24"/>
        </w:rPr>
      </w:pPr>
      <w:r>
        <w:rPr>
          <w:rFonts w:ascii="宋体" w:hAnsi="宋体" w:cs="仿宋"/>
          <w:sz w:val="24"/>
          <w:szCs w:val="24"/>
        </w:rPr>
        <w:t>6</w:t>
      </w:r>
      <w:r>
        <w:rPr>
          <w:rFonts w:hint="eastAsia" w:ascii="宋体" w:hAnsi="宋体" w:cs="仿宋"/>
          <w:sz w:val="24"/>
          <w:szCs w:val="24"/>
        </w:rPr>
        <w:t>．我方的投标书自开标后</w:t>
      </w:r>
      <w:r>
        <w:rPr>
          <w:rFonts w:ascii="宋体" w:hAnsi="宋体" w:cs="仿宋"/>
          <w:sz w:val="24"/>
          <w:szCs w:val="24"/>
        </w:rPr>
        <w:t>60</w:t>
      </w:r>
      <w:r>
        <w:rPr>
          <w:rFonts w:hint="eastAsia" w:ascii="宋体" w:hAnsi="宋体" w:cs="仿宋"/>
          <w:sz w:val="24"/>
          <w:szCs w:val="24"/>
        </w:rPr>
        <w:t>天内有效</w:t>
      </w:r>
    </w:p>
    <w:p>
      <w:pPr>
        <w:spacing w:line="360" w:lineRule="auto"/>
        <w:ind w:firstLine="480" w:firstLineChars="200"/>
        <w:rPr>
          <w:rFonts w:ascii="宋体" w:cs="仿宋"/>
          <w:sz w:val="24"/>
          <w:szCs w:val="24"/>
        </w:rPr>
      </w:pPr>
      <w:r>
        <w:rPr>
          <w:rFonts w:ascii="宋体" w:hAnsi="宋体" w:cs="仿宋"/>
          <w:sz w:val="24"/>
          <w:szCs w:val="24"/>
        </w:rPr>
        <w:t>7</w:t>
      </w:r>
      <w:r>
        <w:rPr>
          <w:rFonts w:hint="eastAsia" w:ascii="宋体" w:hAnsi="宋体" w:cs="仿宋"/>
          <w:sz w:val="24"/>
          <w:szCs w:val="24"/>
        </w:rPr>
        <w:t>．与本投标有关的一切往来通讯请寄：</w:t>
      </w:r>
    </w:p>
    <w:p>
      <w:pPr>
        <w:spacing w:line="360" w:lineRule="auto"/>
        <w:ind w:firstLine="480" w:firstLineChars="200"/>
        <w:rPr>
          <w:rFonts w:ascii="宋体" w:cs="仿宋"/>
          <w:sz w:val="24"/>
          <w:szCs w:val="24"/>
        </w:rPr>
      </w:pPr>
      <w:r>
        <w:rPr>
          <w:rFonts w:hint="eastAsia" w:ascii="宋体" w:hAnsi="宋体" w:cs="仿宋"/>
          <w:sz w:val="24"/>
          <w:szCs w:val="24"/>
        </w:rPr>
        <w:t>地址：　　　　　　　　　　　　　邮编：</w:t>
      </w:r>
    </w:p>
    <w:p>
      <w:pPr>
        <w:spacing w:line="360" w:lineRule="auto"/>
        <w:ind w:firstLine="480" w:firstLineChars="200"/>
        <w:rPr>
          <w:rFonts w:ascii="宋体" w:cs="仿宋"/>
          <w:sz w:val="24"/>
          <w:szCs w:val="24"/>
        </w:rPr>
      </w:pPr>
      <w:r>
        <w:rPr>
          <w:rFonts w:hint="eastAsia" w:ascii="宋体" w:hAnsi="宋体" w:cs="仿宋"/>
          <w:sz w:val="24"/>
          <w:szCs w:val="24"/>
        </w:rPr>
        <w:t>电话：　　　　　　　　　　　　　传真：</w:t>
      </w:r>
    </w:p>
    <w:p>
      <w:pPr>
        <w:spacing w:line="360" w:lineRule="auto"/>
        <w:ind w:firstLine="480" w:firstLineChars="200"/>
        <w:rPr>
          <w:rFonts w:ascii="宋体" w:cs="仿宋"/>
          <w:sz w:val="24"/>
          <w:szCs w:val="24"/>
        </w:rPr>
      </w:pPr>
      <w:r>
        <w:rPr>
          <w:rFonts w:hint="eastAsia" w:ascii="宋体" w:hAnsi="宋体" w:cs="仿宋"/>
          <w:sz w:val="24"/>
          <w:szCs w:val="24"/>
        </w:rPr>
        <w:t>授权委托人签字：　　　　　　　　职务：</w:t>
      </w:r>
    </w:p>
    <w:p>
      <w:pPr>
        <w:spacing w:line="360" w:lineRule="auto"/>
        <w:ind w:firstLine="480" w:firstLineChars="200"/>
        <w:rPr>
          <w:rFonts w:ascii="宋体" w:cs="仿宋"/>
          <w:sz w:val="24"/>
          <w:szCs w:val="24"/>
        </w:rPr>
      </w:pPr>
      <w:r>
        <w:rPr>
          <w:rFonts w:hint="eastAsia" w:ascii="宋体" w:hAnsi="宋体" w:cs="仿宋"/>
          <w:sz w:val="24"/>
          <w:szCs w:val="24"/>
        </w:rPr>
        <w:t>投标单位名称：（加盖单位公章）</w:t>
      </w:r>
    </w:p>
    <w:p>
      <w:pPr>
        <w:spacing w:line="360" w:lineRule="auto"/>
        <w:ind w:firstLine="480" w:firstLineChars="200"/>
        <w:rPr>
          <w:rFonts w:ascii="宋体" w:cs="仿宋"/>
          <w:color w:val="000000"/>
          <w:sz w:val="24"/>
          <w:szCs w:val="24"/>
        </w:rPr>
      </w:pPr>
      <w:r>
        <w:rPr>
          <w:rFonts w:hint="eastAsia" w:ascii="宋体" w:hAnsi="宋体" w:cs="仿宋"/>
          <w:sz w:val="24"/>
          <w:szCs w:val="24"/>
        </w:rPr>
        <w:t>日期：年月日　　</w:t>
      </w:r>
    </w:p>
    <w:p>
      <w:pPr>
        <w:spacing w:line="360" w:lineRule="auto"/>
        <w:rPr>
          <w:rFonts w:ascii="宋体" w:cs="仿宋"/>
          <w:sz w:val="24"/>
          <w:szCs w:val="24"/>
        </w:rPr>
      </w:pPr>
    </w:p>
    <w:p>
      <w:pPr>
        <w:spacing w:line="360" w:lineRule="auto"/>
        <w:rPr>
          <w:rFonts w:ascii="宋体" w:cs="仿宋"/>
          <w:sz w:val="24"/>
          <w:szCs w:val="24"/>
        </w:rPr>
      </w:pPr>
    </w:p>
    <w:p>
      <w:pPr>
        <w:spacing w:beforeLines="50" w:afterLines="50" w:line="360" w:lineRule="auto"/>
        <w:rPr>
          <w:rFonts w:ascii="宋体" w:cs="仿宋"/>
          <w:b/>
          <w:sz w:val="24"/>
          <w:szCs w:val="24"/>
        </w:rPr>
      </w:pPr>
      <w:r>
        <w:rPr>
          <w:rFonts w:hint="eastAsia" w:ascii="宋体" w:hAnsi="宋体" w:cs="仿宋"/>
          <w:b/>
          <w:sz w:val="24"/>
          <w:szCs w:val="24"/>
        </w:rPr>
        <w:t>四、其他</w:t>
      </w:r>
    </w:p>
    <w:p>
      <w:pPr>
        <w:spacing w:line="360" w:lineRule="auto"/>
        <w:ind w:firstLine="480" w:firstLineChars="200"/>
        <w:rPr>
          <w:rFonts w:ascii="宋体" w:cs="仿宋"/>
          <w:sz w:val="24"/>
          <w:szCs w:val="24"/>
        </w:rPr>
      </w:pPr>
      <w:r>
        <w:rPr>
          <w:rFonts w:hint="eastAsia" w:ascii="宋体" w:hAnsi="宋体" w:cs="仿宋"/>
          <w:sz w:val="24"/>
          <w:szCs w:val="24"/>
        </w:rPr>
        <w:t>请投标人根据评分标准组织资料，格式不限，但要求目录清晰、内容完备，便于评委评判。因目录不清晰或提供的材料（复印件）模糊，以至三分之二以上评委无法判断，而影响评分的责任由投标人自行承担。</w:t>
      </w:r>
    </w:p>
    <w:sectPr>
      <w:footerReference r:id="rId3" w:type="default"/>
      <w:pgSz w:w="11906" w:h="16838"/>
      <w:pgMar w:top="1418" w:right="1134" w:bottom="1418" w:left="141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2</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0A6F88"/>
    <w:multiLevelType w:val="singleLevel"/>
    <w:tmpl w:val="8A0A6F88"/>
    <w:lvl w:ilvl="0" w:tentative="0">
      <w:start w:val="1"/>
      <w:numFmt w:val="decimalEnclosedCircleChinese"/>
      <w:suff w:val="nothing"/>
      <w:lvlText w:val="%1　"/>
      <w:lvlJc w:val="left"/>
      <w:pPr>
        <w:ind w:firstLine="400"/>
      </w:pPr>
      <w:rPr>
        <w:rFonts w:hint="eastAsia" w:cs="Times New Roman"/>
      </w:rPr>
    </w:lvl>
  </w:abstractNum>
  <w:abstractNum w:abstractNumId="1">
    <w:nsid w:val="7B04F1C3"/>
    <w:multiLevelType w:val="singleLevel"/>
    <w:tmpl w:val="7B04F1C3"/>
    <w:lvl w:ilvl="0" w:tentative="0">
      <w:start w:val="3"/>
      <w:numFmt w:val="decimal"/>
      <w:lvlText w:val="%1."/>
      <w:lvlJc w:val="left"/>
      <w:pPr>
        <w:tabs>
          <w:tab w:val="left" w:pos="312"/>
        </w:tabs>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F0780E"/>
    <w:rsid w:val="0001347B"/>
    <w:rsid w:val="00013CE2"/>
    <w:rsid w:val="00016CAE"/>
    <w:rsid w:val="00040F96"/>
    <w:rsid w:val="0004158E"/>
    <w:rsid w:val="000660CF"/>
    <w:rsid w:val="000927C7"/>
    <w:rsid w:val="000945FC"/>
    <w:rsid w:val="000B73D2"/>
    <w:rsid w:val="000C21AE"/>
    <w:rsid w:val="000C7304"/>
    <w:rsid w:val="000D2EC9"/>
    <w:rsid w:val="001246D5"/>
    <w:rsid w:val="00150D65"/>
    <w:rsid w:val="00156822"/>
    <w:rsid w:val="00180C78"/>
    <w:rsid w:val="00190C1B"/>
    <w:rsid w:val="00190C7F"/>
    <w:rsid w:val="00193D07"/>
    <w:rsid w:val="001C0966"/>
    <w:rsid w:val="001C129C"/>
    <w:rsid w:val="001E2E00"/>
    <w:rsid w:val="001E5472"/>
    <w:rsid w:val="001F2002"/>
    <w:rsid w:val="001F5CC7"/>
    <w:rsid w:val="001F74FE"/>
    <w:rsid w:val="002217ED"/>
    <w:rsid w:val="00223E53"/>
    <w:rsid w:val="00232E23"/>
    <w:rsid w:val="002333AF"/>
    <w:rsid w:val="002339E3"/>
    <w:rsid w:val="00235C32"/>
    <w:rsid w:val="00241563"/>
    <w:rsid w:val="002417CB"/>
    <w:rsid w:val="002565B4"/>
    <w:rsid w:val="00260248"/>
    <w:rsid w:val="0026582B"/>
    <w:rsid w:val="0027053D"/>
    <w:rsid w:val="00273D59"/>
    <w:rsid w:val="002933A6"/>
    <w:rsid w:val="002A7059"/>
    <w:rsid w:val="002C484C"/>
    <w:rsid w:val="002D3C87"/>
    <w:rsid w:val="002E0306"/>
    <w:rsid w:val="002E65E7"/>
    <w:rsid w:val="003036A3"/>
    <w:rsid w:val="003063F3"/>
    <w:rsid w:val="0034785C"/>
    <w:rsid w:val="0035274D"/>
    <w:rsid w:val="0036521E"/>
    <w:rsid w:val="00380107"/>
    <w:rsid w:val="003814FC"/>
    <w:rsid w:val="00383DEA"/>
    <w:rsid w:val="00392BFF"/>
    <w:rsid w:val="003A0B21"/>
    <w:rsid w:val="003A4768"/>
    <w:rsid w:val="003A6C8A"/>
    <w:rsid w:val="003B1175"/>
    <w:rsid w:val="003E6266"/>
    <w:rsid w:val="003F4AB5"/>
    <w:rsid w:val="003F5A2B"/>
    <w:rsid w:val="00425E84"/>
    <w:rsid w:val="00444C59"/>
    <w:rsid w:val="00454B86"/>
    <w:rsid w:val="00457ED7"/>
    <w:rsid w:val="00465646"/>
    <w:rsid w:val="004672F8"/>
    <w:rsid w:val="00485BDD"/>
    <w:rsid w:val="004A15F1"/>
    <w:rsid w:val="004A3FBB"/>
    <w:rsid w:val="004B34AA"/>
    <w:rsid w:val="004D5F56"/>
    <w:rsid w:val="004E4900"/>
    <w:rsid w:val="004E4C55"/>
    <w:rsid w:val="004E60A3"/>
    <w:rsid w:val="004E77EB"/>
    <w:rsid w:val="00514173"/>
    <w:rsid w:val="00516516"/>
    <w:rsid w:val="00516C89"/>
    <w:rsid w:val="00520011"/>
    <w:rsid w:val="005438AB"/>
    <w:rsid w:val="00544C6C"/>
    <w:rsid w:val="00550E1F"/>
    <w:rsid w:val="0055541A"/>
    <w:rsid w:val="00574C55"/>
    <w:rsid w:val="00575553"/>
    <w:rsid w:val="0057666B"/>
    <w:rsid w:val="00576B55"/>
    <w:rsid w:val="005A3382"/>
    <w:rsid w:val="005A74CE"/>
    <w:rsid w:val="005B2F35"/>
    <w:rsid w:val="005B4E54"/>
    <w:rsid w:val="005C0D77"/>
    <w:rsid w:val="005D2A89"/>
    <w:rsid w:val="005E06FF"/>
    <w:rsid w:val="005F32C8"/>
    <w:rsid w:val="005F3F70"/>
    <w:rsid w:val="00600754"/>
    <w:rsid w:val="00600BEB"/>
    <w:rsid w:val="00627181"/>
    <w:rsid w:val="0062790A"/>
    <w:rsid w:val="00645E14"/>
    <w:rsid w:val="00647F0B"/>
    <w:rsid w:val="00696E5B"/>
    <w:rsid w:val="006A5424"/>
    <w:rsid w:val="006B3907"/>
    <w:rsid w:val="006E0F95"/>
    <w:rsid w:val="006E5B68"/>
    <w:rsid w:val="006F264F"/>
    <w:rsid w:val="00702DB9"/>
    <w:rsid w:val="00704F56"/>
    <w:rsid w:val="007163BE"/>
    <w:rsid w:val="007173A0"/>
    <w:rsid w:val="0072224A"/>
    <w:rsid w:val="00733823"/>
    <w:rsid w:val="00734DD0"/>
    <w:rsid w:val="00742E5C"/>
    <w:rsid w:val="00744DE7"/>
    <w:rsid w:val="007516AF"/>
    <w:rsid w:val="007558E7"/>
    <w:rsid w:val="007618D0"/>
    <w:rsid w:val="00767236"/>
    <w:rsid w:val="007800A3"/>
    <w:rsid w:val="00783740"/>
    <w:rsid w:val="00792449"/>
    <w:rsid w:val="007A1A16"/>
    <w:rsid w:val="007B3EBC"/>
    <w:rsid w:val="007B4088"/>
    <w:rsid w:val="007D4D85"/>
    <w:rsid w:val="007E06C8"/>
    <w:rsid w:val="007E1998"/>
    <w:rsid w:val="007F0B15"/>
    <w:rsid w:val="00813851"/>
    <w:rsid w:val="00833638"/>
    <w:rsid w:val="00833D93"/>
    <w:rsid w:val="008503D1"/>
    <w:rsid w:val="00851E2E"/>
    <w:rsid w:val="00857740"/>
    <w:rsid w:val="00861ADB"/>
    <w:rsid w:val="00866931"/>
    <w:rsid w:val="008849E1"/>
    <w:rsid w:val="0088612A"/>
    <w:rsid w:val="00890FCB"/>
    <w:rsid w:val="0089429A"/>
    <w:rsid w:val="008A6A0D"/>
    <w:rsid w:val="008B3010"/>
    <w:rsid w:val="008B49D0"/>
    <w:rsid w:val="008B63E8"/>
    <w:rsid w:val="008C6C57"/>
    <w:rsid w:val="008D0CEE"/>
    <w:rsid w:val="008D46ED"/>
    <w:rsid w:val="008D474B"/>
    <w:rsid w:val="008D4816"/>
    <w:rsid w:val="008D68F4"/>
    <w:rsid w:val="008E06D4"/>
    <w:rsid w:val="008E5213"/>
    <w:rsid w:val="008E576C"/>
    <w:rsid w:val="0092040C"/>
    <w:rsid w:val="009225B5"/>
    <w:rsid w:val="0092658E"/>
    <w:rsid w:val="0093142E"/>
    <w:rsid w:val="00940AED"/>
    <w:rsid w:val="00946420"/>
    <w:rsid w:val="009508A9"/>
    <w:rsid w:val="009640C5"/>
    <w:rsid w:val="00983167"/>
    <w:rsid w:val="00984B52"/>
    <w:rsid w:val="009A0811"/>
    <w:rsid w:val="009B0A82"/>
    <w:rsid w:val="009B2882"/>
    <w:rsid w:val="009C457F"/>
    <w:rsid w:val="009D4EFC"/>
    <w:rsid w:val="009F293B"/>
    <w:rsid w:val="00A02E78"/>
    <w:rsid w:val="00A04B4A"/>
    <w:rsid w:val="00A17A6F"/>
    <w:rsid w:val="00A441C6"/>
    <w:rsid w:val="00A520B4"/>
    <w:rsid w:val="00A53496"/>
    <w:rsid w:val="00A55F25"/>
    <w:rsid w:val="00A575EE"/>
    <w:rsid w:val="00A81EB3"/>
    <w:rsid w:val="00A86B34"/>
    <w:rsid w:val="00A911A1"/>
    <w:rsid w:val="00AC29C0"/>
    <w:rsid w:val="00AD6888"/>
    <w:rsid w:val="00AE3D77"/>
    <w:rsid w:val="00AF59CC"/>
    <w:rsid w:val="00B122C7"/>
    <w:rsid w:val="00B248F1"/>
    <w:rsid w:val="00B254B5"/>
    <w:rsid w:val="00B46A18"/>
    <w:rsid w:val="00B61D36"/>
    <w:rsid w:val="00B66F4E"/>
    <w:rsid w:val="00B828D1"/>
    <w:rsid w:val="00BA5534"/>
    <w:rsid w:val="00BA6C49"/>
    <w:rsid w:val="00BB07AB"/>
    <w:rsid w:val="00BB2E76"/>
    <w:rsid w:val="00BB6D0B"/>
    <w:rsid w:val="00BC1784"/>
    <w:rsid w:val="00BD033F"/>
    <w:rsid w:val="00BD6550"/>
    <w:rsid w:val="00BE60D6"/>
    <w:rsid w:val="00BF17C3"/>
    <w:rsid w:val="00BF21F6"/>
    <w:rsid w:val="00BF369A"/>
    <w:rsid w:val="00C267F6"/>
    <w:rsid w:val="00C31C8A"/>
    <w:rsid w:val="00C32319"/>
    <w:rsid w:val="00C57C2D"/>
    <w:rsid w:val="00C623EF"/>
    <w:rsid w:val="00C70F61"/>
    <w:rsid w:val="00C73AF9"/>
    <w:rsid w:val="00C80D0E"/>
    <w:rsid w:val="00C95786"/>
    <w:rsid w:val="00CB6F9A"/>
    <w:rsid w:val="00CB7958"/>
    <w:rsid w:val="00CC459D"/>
    <w:rsid w:val="00CC4BA1"/>
    <w:rsid w:val="00CD0AE7"/>
    <w:rsid w:val="00CD71AB"/>
    <w:rsid w:val="00CE5B63"/>
    <w:rsid w:val="00CE6909"/>
    <w:rsid w:val="00D001B0"/>
    <w:rsid w:val="00D01C88"/>
    <w:rsid w:val="00D03FA3"/>
    <w:rsid w:val="00D14C0C"/>
    <w:rsid w:val="00D3667E"/>
    <w:rsid w:val="00D54B85"/>
    <w:rsid w:val="00D57A06"/>
    <w:rsid w:val="00D63E6D"/>
    <w:rsid w:val="00DB1FEE"/>
    <w:rsid w:val="00DB2BF2"/>
    <w:rsid w:val="00DB448E"/>
    <w:rsid w:val="00DB5E53"/>
    <w:rsid w:val="00DB62B0"/>
    <w:rsid w:val="00DF08A2"/>
    <w:rsid w:val="00DF2C75"/>
    <w:rsid w:val="00DF45AE"/>
    <w:rsid w:val="00DF755D"/>
    <w:rsid w:val="00E378FD"/>
    <w:rsid w:val="00E45F1E"/>
    <w:rsid w:val="00E502FE"/>
    <w:rsid w:val="00E55157"/>
    <w:rsid w:val="00E56BF8"/>
    <w:rsid w:val="00E63255"/>
    <w:rsid w:val="00E65ADC"/>
    <w:rsid w:val="00E958A6"/>
    <w:rsid w:val="00EA69B8"/>
    <w:rsid w:val="00EB0F7D"/>
    <w:rsid w:val="00EB4453"/>
    <w:rsid w:val="00ED417E"/>
    <w:rsid w:val="00EF0149"/>
    <w:rsid w:val="00EF08E6"/>
    <w:rsid w:val="00F0780E"/>
    <w:rsid w:val="00F10A12"/>
    <w:rsid w:val="00F26939"/>
    <w:rsid w:val="00F3334F"/>
    <w:rsid w:val="00F42842"/>
    <w:rsid w:val="00F47F6F"/>
    <w:rsid w:val="00F55BEB"/>
    <w:rsid w:val="00F56207"/>
    <w:rsid w:val="00F57C81"/>
    <w:rsid w:val="00F61169"/>
    <w:rsid w:val="00F808CB"/>
    <w:rsid w:val="00F812D5"/>
    <w:rsid w:val="00F81312"/>
    <w:rsid w:val="00F8244E"/>
    <w:rsid w:val="00F85B82"/>
    <w:rsid w:val="00F85E91"/>
    <w:rsid w:val="00FA1E56"/>
    <w:rsid w:val="00FA382A"/>
    <w:rsid w:val="00FA4178"/>
    <w:rsid w:val="00FB0214"/>
    <w:rsid w:val="00FD6319"/>
    <w:rsid w:val="00FE47CA"/>
    <w:rsid w:val="00FE6A5C"/>
    <w:rsid w:val="00FE6BE4"/>
    <w:rsid w:val="00FF60A4"/>
    <w:rsid w:val="0A8821DB"/>
    <w:rsid w:val="0B0C5543"/>
    <w:rsid w:val="0E8B0AF0"/>
    <w:rsid w:val="1013425B"/>
    <w:rsid w:val="126D648D"/>
    <w:rsid w:val="16CC3BAF"/>
    <w:rsid w:val="17CEDD32"/>
    <w:rsid w:val="1ADA7307"/>
    <w:rsid w:val="1DED7C54"/>
    <w:rsid w:val="1E100DC8"/>
    <w:rsid w:val="228F7BEB"/>
    <w:rsid w:val="25342D76"/>
    <w:rsid w:val="281A3F9B"/>
    <w:rsid w:val="2A087ABC"/>
    <w:rsid w:val="2B3F39A3"/>
    <w:rsid w:val="2ED23278"/>
    <w:rsid w:val="355D1F03"/>
    <w:rsid w:val="39072988"/>
    <w:rsid w:val="39796A43"/>
    <w:rsid w:val="3F5C5351"/>
    <w:rsid w:val="47400B3D"/>
    <w:rsid w:val="4986621A"/>
    <w:rsid w:val="4D0632DB"/>
    <w:rsid w:val="4D5F0464"/>
    <w:rsid w:val="4DFE2BD1"/>
    <w:rsid w:val="4F5E264D"/>
    <w:rsid w:val="50EA09FA"/>
    <w:rsid w:val="513115C3"/>
    <w:rsid w:val="53DF1F58"/>
    <w:rsid w:val="548B0D88"/>
    <w:rsid w:val="54CE6EA8"/>
    <w:rsid w:val="56101C98"/>
    <w:rsid w:val="56284F10"/>
    <w:rsid w:val="5BE219C0"/>
    <w:rsid w:val="6A0B4BC4"/>
    <w:rsid w:val="74B43316"/>
    <w:rsid w:val="75111844"/>
    <w:rsid w:val="781F69F2"/>
    <w:rsid w:val="7D3B38D2"/>
    <w:rsid w:val="7F256A96"/>
    <w:rsid w:val="7FDBADA9"/>
    <w:rsid w:val="AFBFFD2D"/>
    <w:rsid w:val="BAF74F6D"/>
    <w:rsid w:val="DDBC71BF"/>
    <w:rsid w:val="EA7E91D3"/>
    <w:rsid w:val="F5C7932B"/>
    <w:rsid w:val="FC3EE50D"/>
    <w:rsid w:val="FD7165BA"/>
    <w:rsid w:val="FDBFCA10"/>
    <w:rsid w:val="FDF74369"/>
    <w:rsid w:val="FEFF4E61"/>
    <w:rsid w:val="FF9EFEAB"/>
    <w:rsid w:val="FFFFDF8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5"/>
    <w:qFormat/>
    <w:uiPriority w:val="99"/>
    <w:pPr>
      <w:keepNext/>
      <w:keepLines/>
      <w:spacing w:before="340" w:after="330" w:line="578" w:lineRule="auto"/>
      <w:outlineLvl w:val="0"/>
    </w:pPr>
    <w:rPr>
      <w:b/>
      <w:bCs/>
      <w:kern w:val="44"/>
      <w:sz w:val="44"/>
      <w:szCs w:val="44"/>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正文1"/>
    <w:basedOn w:val="1"/>
    <w:uiPriority w:val="99"/>
    <w:pPr>
      <w:spacing w:line="360" w:lineRule="auto"/>
      <w:ind w:firstLine="361"/>
    </w:pPr>
    <w:rPr>
      <w:rFonts w:ascii="宋体" w:hAnsi="宋体"/>
      <w:szCs w:val="24"/>
    </w:rPr>
  </w:style>
  <w:style w:type="paragraph" w:styleId="4">
    <w:name w:val="Normal Indent"/>
    <w:basedOn w:val="1"/>
    <w:uiPriority w:val="99"/>
    <w:pPr>
      <w:ind w:firstLine="420"/>
    </w:pPr>
    <w:rPr>
      <w:rFonts w:ascii="Times New Roman" w:hAnsi="Times New Roman"/>
      <w:szCs w:val="20"/>
    </w:rPr>
  </w:style>
  <w:style w:type="paragraph" w:styleId="5">
    <w:name w:val="Document Map"/>
    <w:basedOn w:val="1"/>
    <w:link w:val="16"/>
    <w:semiHidden/>
    <w:qFormat/>
    <w:uiPriority w:val="99"/>
    <w:pPr>
      <w:shd w:val="clear" w:color="auto" w:fill="000080"/>
    </w:pPr>
  </w:style>
  <w:style w:type="paragraph" w:styleId="6">
    <w:name w:val="Balloon Text"/>
    <w:basedOn w:val="1"/>
    <w:link w:val="17"/>
    <w:semiHidden/>
    <w:qFormat/>
    <w:uiPriority w:val="99"/>
    <w:rPr>
      <w:sz w:val="18"/>
      <w:szCs w:val="18"/>
    </w:r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99"/>
  </w:style>
  <w:style w:type="paragraph" w:styleId="10">
    <w:name w:val="HTML Preformatted"/>
    <w:basedOn w:val="1"/>
    <w:link w:val="20"/>
    <w:qFormat/>
    <w:uiPriority w:val="99"/>
    <w:pPr>
      <w:adjustRightInd w:val="0"/>
      <w:spacing w:line="360" w:lineRule="atLeast"/>
      <w:textAlignment w:val="baseline"/>
    </w:pPr>
    <w:rPr>
      <w:rFonts w:ascii="Courier New" w:hAnsi="Courier New"/>
      <w:kern w:val="0"/>
      <w:sz w:val="20"/>
      <w:szCs w:val="20"/>
    </w:rPr>
  </w:style>
  <w:style w:type="table" w:styleId="12">
    <w:name w:val="Table Grid"/>
    <w:basedOn w:val="11"/>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qFormat/>
    <w:uiPriority w:val="99"/>
    <w:rPr>
      <w:rFonts w:cs="Times New Roman"/>
      <w:color w:val="0000FF"/>
      <w:u w:val="single"/>
    </w:rPr>
  </w:style>
  <w:style w:type="character" w:customStyle="1" w:styleId="15">
    <w:name w:val="标题 1 Char"/>
    <w:basedOn w:val="13"/>
    <w:link w:val="3"/>
    <w:qFormat/>
    <w:locked/>
    <w:uiPriority w:val="99"/>
    <w:rPr>
      <w:rFonts w:cs="Times New Roman"/>
      <w:b/>
      <w:bCs/>
      <w:kern w:val="44"/>
      <w:sz w:val="44"/>
      <w:szCs w:val="44"/>
    </w:rPr>
  </w:style>
  <w:style w:type="character" w:customStyle="1" w:styleId="16">
    <w:name w:val="文档结构图 Char"/>
    <w:basedOn w:val="13"/>
    <w:link w:val="5"/>
    <w:semiHidden/>
    <w:qFormat/>
    <w:locked/>
    <w:uiPriority w:val="99"/>
    <w:rPr>
      <w:rFonts w:ascii="Times New Roman" w:hAnsi="Times New Roman" w:cs="Times New Roman"/>
      <w:sz w:val="2"/>
    </w:rPr>
  </w:style>
  <w:style w:type="character" w:customStyle="1" w:styleId="17">
    <w:name w:val="批注框文本 Char"/>
    <w:basedOn w:val="13"/>
    <w:link w:val="6"/>
    <w:semiHidden/>
    <w:locked/>
    <w:uiPriority w:val="99"/>
    <w:rPr>
      <w:rFonts w:cs="Times New Roman"/>
      <w:sz w:val="18"/>
      <w:szCs w:val="18"/>
    </w:rPr>
  </w:style>
  <w:style w:type="character" w:customStyle="1" w:styleId="18">
    <w:name w:val="页脚 Char"/>
    <w:basedOn w:val="13"/>
    <w:link w:val="7"/>
    <w:qFormat/>
    <w:locked/>
    <w:uiPriority w:val="99"/>
    <w:rPr>
      <w:rFonts w:cs="Times New Roman"/>
      <w:sz w:val="18"/>
      <w:szCs w:val="18"/>
    </w:rPr>
  </w:style>
  <w:style w:type="character" w:customStyle="1" w:styleId="19">
    <w:name w:val="页眉 Char"/>
    <w:basedOn w:val="13"/>
    <w:link w:val="8"/>
    <w:locked/>
    <w:uiPriority w:val="99"/>
    <w:rPr>
      <w:rFonts w:cs="Times New Roman"/>
      <w:sz w:val="18"/>
      <w:szCs w:val="18"/>
    </w:rPr>
  </w:style>
  <w:style w:type="character" w:customStyle="1" w:styleId="20">
    <w:name w:val="HTML 预设格式 Char"/>
    <w:basedOn w:val="13"/>
    <w:link w:val="10"/>
    <w:semiHidden/>
    <w:locked/>
    <w:uiPriority w:val="99"/>
    <w:rPr>
      <w:rFonts w:ascii="Courier New" w:hAnsi="Courier New" w:cs="Courier New"/>
      <w:sz w:val="20"/>
      <w:szCs w:val="20"/>
    </w:rPr>
  </w:style>
  <w:style w:type="paragraph" w:customStyle="1" w:styleId="21">
    <w:name w:val="列出段落1"/>
    <w:basedOn w:val="1"/>
    <w:uiPriority w:val="99"/>
    <w:pPr>
      <w:ind w:firstLine="420" w:firstLineChars="200"/>
    </w:pPr>
  </w:style>
  <w:style w:type="paragraph" w:customStyle="1" w:styleId="22">
    <w:name w:val="TOC 标题1"/>
    <w:basedOn w:val="3"/>
    <w:next w:val="1"/>
    <w:uiPriority w:val="99"/>
    <w:pPr>
      <w:widowControl/>
      <w:spacing w:before="480" w:after="0" w:line="276" w:lineRule="auto"/>
      <w:jc w:val="left"/>
      <w:outlineLvl w:val="9"/>
    </w:pPr>
    <w:rPr>
      <w:rFonts w:ascii="Cambria" w:hAnsi="Cambria"/>
      <w:color w:val="365F91"/>
      <w:kern w:val="0"/>
      <w:sz w:val="28"/>
      <w:szCs w:val="28"/>
    </w:rPr>
  </w:style>
  <w:style w:type="paragraph" w:customStyle="1" w:styleId="23">
    <w:name w:val="列出段落11"/>
    <w:basedOn w:val="1"/>
    <w:uiPriority w:val="99"/>
    <w:pPr>
      <w:ind w:firstLine="420" w:firstLineChars="200"/>
    </w:pPr>
  </w:style>
  <w:style w:type="paragraph" w:customStyle="1" w:styleId="24">
    <w:name w:val="p0"/>
    <w:basedOn w:val="1"/>
    <w:qFormat/>
    <w:uiPriority w:val="99"/>
    <w:pPr>
      <w:widowControl/>
    </w:pPr>
    <w:rPr>
      <w:szCs w:val="21"/>
    </w:rPr>
  </w:style>
  <w:style w:type="character" w:customStyle="1" w:styleId="25">
    <w:name w:val="generalinfo-address-text"/>
    <w:basedOn w:val="13"/>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1006</Words>
  <Characters>5735</Characters>
  <Lines>47</Lines>
  <Paragraphs>13</Paragraphs>
  <TotalTime>77</TotalTime>
  <ScaleCrop>false</ScaleCrop>
  <LinksUpToDate>false</LinksUpToDate>
  <CharactersWithSpaces>6728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2019-10-09T02:13:00Z</dcterms:created>
  <dc:creator>bailing</dc:creator>
  <cp:lastModifiedBy>Administrator</cp:lastModifiedBy>
  <cp:lastPrinted>2020-04-23T07:31:00Z</cp:lastPrinted>
  <dcterms:modified xsi:type="dcterms:W3CDTF">2020-07-22T06:21:23Z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